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1"/>
        </w:rPr>
        <w:t>Anexo de correcciones propuestas — FS_v1.2 (draft v2)</w:t>
      </w:r>
    </w:p>
    <w:p>
      <w:r>
        <w:rPr>
          <w:sz w:val="21"/>
        </w:rPr>
        <w:t>Este anexo NO constituye una declaracion de cumplimiento GMP y NO aprueba el documento. Es insumo para decision humana (accept / reject / request_changes) via el mecanismo oficial de Capa 9 de GMP AI Factory. NO esta marcado como approved, compliant, effective ni released.</w:t>
      </w:r>
    </w:p>
    <w:p>
      <w:r>
        <w:rPr>
          <w:b/>
          <w:sz w:val="21"/>
        </w:rPr>
        <w:t xml:space="preserve">Documento base: </w:t>
      </w:r>
      <w:r>
        <w:rPr>
          <w:sz w:val="21"/>
        </w:rPr>
        <w:t>215115305 SCADA-PCS Misc PLC System FS_v1.2.pdf</w:t>
      </w:r>
    </w:p>
    <w:p>
      <w:r>
        <w:rPr>
          <w:b/>
          <w:sz w:val="21"/>
        </w:rPr>
        <w:t xml:space="preserve">SHA-256 (verificado, original intacto): </w:t>
      </w:r>
      <w:r>
        <w:rPr>
          <w:sz w:val="21"/>
        </w:rPr>
        <w:t>56095a7541fbb62e30d00e77308fde4c2ac0f4ec945adbf19a968b79debc82eb</w:t>
      </w:r>
    </w:p>
    <w:p>
      <w:r>
        <w:rPr>
          <w:b/>
          <w:sz w:val="21"/>
        </w:rPr>
        <w:t xml:space="preserve">Cobertura de analisis: </w:t>
      </w:r>
      <w:r>
        <w:rPr>
          <w:sz w:val="21"/>
        </w:rPr>
        <w:t>100.0% (27/27 chunks x 3 agentes)</w:t>
      </w:r>
    </w:p>
    <w:p>
      <w:r>
        <w:rPr>
          <w:b/>
          <w:sz w:val="21"/>
        </w:rPr>
        <w:t xml:space="preserve">Clasificacion: </w:t>
      </w:r>
      <w:r>
        <w:rPr>
          <w:sz w:val="21"/>
        </w:rPr>
        <w:t>DRAFT_READY_AWAITING_HUMAN_REVIEW</w:t>
      </w:r>
    </w:p>
    <w:p>
      <w:r>
        <w:rPr>
          <w:b/>
          <w:sz w:val="21"/>
        </w:rPr>
        <w:t xml:space="preserve">Generado: </w:t>
      </w:r>
      <w:r>
        <w:rPr>
          <w:sz w:val="21"/>
        </w:rPr>
        <w:t>2026-07-16T13:48:42.913548+00:00</w:t>
      </w:r>
    </w:p>
    <w:p>
      <w:r>
        <w:rPr>
          <w:b/>
          <w:sz w:val="21"/>
        </w:rPr>
        <w:t xml:space="preserve">Version anterior conservada: </w:t>
      </w:r>
      <w:r>
        <w:rPr>
          <w:sz w:val="21"/>
        </w:rPr>
        <w:t>FS_v1.2_borrador_correcciones.docx</w:t>
      </w:r>
    </w:p>
    <w:p>
      <w:r>
        <w:rPr>
          <w:sz w:val="21"/>
        </w:rPr>
        <w:t>Cobertura 100% en los 3 agentes (27/27 chunks cada uno). Las 4 contradicciones internas detectadas fueron analizadas y tienen resolucion tecnica propuesta con changelog trazable (clasificacion anterior/nueva, motivo, evidencia, fuente regulatoria) — 2 reclasificadas a no_cumple documentalmente (falsos positivos por evidencia mal asignada a checkpoint) y 2 mantenidas cumple_parcialmente con brecha reescrita (diferencia de alcance, no contradiccion real). Estas resoluciones son propuestas tecnicas pendientes de revision/aprobacion humana formal antes de considerarse cerradas — el borrador NO debe marcarse como approved, compliant, effective ni released.</w:t>
      </w:r>
    </w:p>
    <w:p>
      <w:pPr>
        <w:pStyle w:val="Heading2"/>
      </w:pPr>
      <w:r>
        <w:rPr>
          <w:sz w:val="21"/>
        </w:rPr>
        <w:t>Changelog v1 -&gt; v2: resolucion de 4 contradicciones internas</w:t>
      </w:r>
    </w:p>
    <w:p>
      <w:r>
        <w:rPr>
          <w:sz w:val="21"/>
        </w:rPr>
        <w:t>Las 4 contradicciones fueron analizadas y resueltas mediante decision tecnica explicita, aprobada por Cesar (2026-07-16). Ninguna se cerro automaticamente.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contradiction_id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antes</w:t>
            </w:r>
          </w:p>
        </w:tc>
        <w:tc>
          <w:tcPr>
            <w:tcW w:type="dxa" w:w="1728"/>
          </w:tcPr>
          <w:p>
            <w:r>
              <w:t>despues</w:t>
            </w:r>
          </w:p>
        </w:tc>
        <w:tc>
          <w:tcPr>
            <w:tcW w:type="dxa" w:w="1728"/>
          </w:tcPr>
          <w:p>
            <w:r>
              <w:t>motivo / fuente</w:t>
            </w:r>
          </w:p>
        </w:tc>
      </w:tr>
      <w:tr>
        <w:tc>
          <w:tcPr>
            <w:tcW w:type="dxa" w:w="1728"/>
          </w:tcPr>
          <w:p>
            <w:r>
              <w:t>C1-FDA-11.10d</w:t>
            </w:r>
          </w:p>
        </w:tc>
        <w:tc>
          <w:tcPr>
            <w:tcW w:type="dxa" w:w="1728"/>
          </w:tcPr>
          <w:p>
            <w:r>
              <w:t>falso positivo</w:t>
            </w:r>
          </w:p>
        </w:tc>
        <w:tc>
          <w:tcPr>
            <w:tcW w:type="dxa" w:w="1728"/>
          </w:tcPr>
          <w:p>
            <w:r>
              <w:t>cumple_parcialmente (contradiccion sin resolver)</w:t>
            </w:r>
          </w:p>
        </w:tc>
        <w:tc>
          <w:tcPr>
            <w:tcW w:type="dxa" w:w="1728"/>
          </w:tcPr>
          <w:p>
            <w:r>
              <w:t>no_cumple (estado_documental: no_cumple_documentalmente_en_FS)</w:t>
            </w:r>
          </w:p>
        </w:tc>
        <w:tc>
          <w:tcPr>
            <w:tcW w:type="dxa" w:w="1728"/>
          </w:tcPr>
          <w:p>
            <w:r>
              <w:t>La unica cita anclada (pag 46-47) es un requisito de audit trail de login, no evidencia de un mecanismo de control de acceso. Se traslada a COR-2. [OFFICIAL_ECFR_21CFR_part11.txt - 11.10(d)]</w:t>
            </w:r>
          </w:p>
        </w:tc>
      </w:tr>
      <w:tr>
        <w:tc>
          <w:tcPr>
            <w:tcW w:type="dxa" w:w="1728"/>
          </w:tcPr>
          <w:p>
            <w:r>
              <w:t>C3-ANNEX11-12</w:t>
            </w:r>
          </w:p>
        </w:tc>
        <w:tc>
          <w:tcPr>
            <w:tcW w:type="dxa" w:w="1728"/>
          </w:tcPr>
          <w:p>
            <w:r>
              <w:t>falso positivo</w:t>
            </w:r>
          </w:p>
        </w:tc>
        <w:tc>
          <w:tcPr>
            <w:tcW w:type="dxa" w:w="1728"/>
          </w:tcPr>
          <w:p>
            <w:r>
              <w:t>cumple_parcialmente (contradiccion sin resolver)</w:t>
            </w:r>
          </w:p>
        </w:tc>
        <w:tc>
          <w:tcPr>
            <w:tcW w:type="dxa" w:w="1728"/>
          </w:tcPr>
          <w:p>
            <w:r>
              <w:t>no_cumple (estado_documental: no_cumple_documentalmente_en_FS)</w:t>
            </w:r>
          </w:p>
        </w:tc>
        <w:tc>
          <w:tcPr>
            <w:tcW w:type="dxa" w:w="1728"/>
          </w:tcPr>
          <w:p>
            <w:r>
              <w:t>La cita anclada (pag 20-21) es sobre consistencia de timestamp (UTC), no sobre seguridad fisica/logica. Se traslada a ALCOA_CONSISTENT. [OFFICIAL_EU_GMP_ANNEX11.pdf - Seccion 12 Security]</w:t>
            </w:r>
          </w:p>
        </w:tc>
      </w:tr>
      <w:tr>
        <w:tc>
          <w:tcPr>
            <w:tcW w:type="dxa" w:w="1728"/>
          </w:tcPr>
          <w:p>
            <w:r>
              <w:t>C2-ANNEX11-7.1</w:t>
            </w:r>
          </w:p>
        </w:tc>
        <w:tc>
          <w:tcPr>
            <w:tcW w:type="dxa" w:w="1728"/>
          </w:tcPr>
          <w:p>
            <w:r>
              <w:t>diferencia de alcance</w:t>
            </w:r>
          </w:p>
        </w:tc>
        <w:tc>
          <w:tcPr>
            <w:tcW w:type="dxa" w:w="1728"/>
          </w:tcPr>
          <w:p>
            <w:r>
              <w:t>cumple_parcialmente (contradiccion sin resolver)</w:t>
            </w:r>
          </w:p>
        </w:tc>
        <w:tc>
          <w:tcPr>
            <w:tcW w:type="dxa" w:w="1728"/>
          </w:tcPr>
          <w:p>
            <w:r>
              <w:t>cumple_parcialmente (brecha reescrita)</w:t>
            </w:r>
          </w:p>
        </w:tc>
        <w:tc>
          <w:tcPr>
            <w:tcW w:type="dxa" w:w="1728"/>
          </w:tcPr>
          <w:p>
            <w:r>
              <w:t>Existe capacidad de archivo (FactoryTalk Historian) en secciones tecnicas; faltan retencion, backup, recuperacion y proteccion contra perdida/alteracion. [OFFICIAL_EU_GMP_ANNEX11.pdf - Seccion 7 Data Storage (7.1, 7.2)]</w:t>
            </w:r>
          </w:p>
        </w:tc>
      </w:tr>
      <w:tr>
        <w:tc>
          <w:tcPr>
            <w:tcW w:type="dxa" w:w="1728"/>
          </w:tcPr>
          <w:p>
            <w:r>
              <w:t>C4-ALCOA-AVAILABLE</w:t>
            </w:r>
          </w:p>
        </w:tc>
        <w:tc>
          <w:tcPr>
            <w:tcW w:type="dxa" w:w="1728"/>
          </w:tcPr>
          <w:p>
            <w:r>
              <w:t>diferencia de alcance</w:t>
            </w:r>
          </w:p>
        </w:tc>
        <w:tc>
          <w:tcPr>
            <w:tcW w:type="dxa" w:w="1728"/>
          </w:tcPr>
          <w:p>
            <w:r>
              <w:t>cumple_parcialmente (contradiccion sin resolver)</w:t>
            </w:r>
          </w:p>
        </w:tc>
        <w:tc>
          <w:tcPr>
            <w:tcW w:type="dxa" w:w="1728"/>
          </w:tcPr>
          <w:p>
            <w:r>
              <w:t>cumple_parcialmente (brecha reescrita)</w:t>
            </w:r>
          </w:p>
        </w:tc>
        <w:tc>
          <w:tcPr>
            <w:tcW w:type="dxa" w:w="1728"/>
          </w:tcPr>
          <w:p>
            <w:r>
              <w:t>Trending, resumen de alarmas y logging de interacciones demuestran mecanismos funcionales; falta politica formal de disponibilidad ante auditoria. [OFFICIAL_MHRA_GXP_DI_GUIDANCE_2018.pdf - 3.10 ALCOA+ Available]</w:t>
            </w:r>
          </w:p>
        </w:tc>
      </w:tr>
    </w:tbl>
    <w:p/>
    <w:p>
      <w:pPr>
        <w:pStyle w:val="Heading3"/>
      </w:pPr>
      <w:r>
        <w:rPr>
          <w:sz w:val="21"/>
        </w:rPr>
        <w:t>Citas trasladadas</w:t>
      </w:r>
    </w:p>
    <w:p>
      <w:r>
        <w:rPr>
          <w:b/>
          <w:sz w:val="21"/>
        </w:rPr>
        <w:t xml:space="preserve">C1-FDA-11.10d (COR-1) -&gt; COR-2 (audit trail) (pag 46-47): </w:t>
      </w:r>
      <w:r>
        <w:rPr>
          <w:sz w:val="21"/>
        </w:rPr>
        <w:t>"UR5.2.3 [URS-PCS-SR-009] Logins, logouts, and login attempts must be recorded in the Audit Trail."</w:t>
      </w:r>
    </w:p>
    <w:p>
      <w:r>
        <w:rPr>
          <w:b/>
          <w:sz w:val="21"/>
        </w:rPr>
        <w:t xml:space="preserve">C3-ANNEX11-12 (COR-1) -&gt; ALCOA_CONSISTENT (pag 20-21): </w:t>
      </w:r>
      <w:r>
        <w:rPr>
          <w:sz w:val="21"/>
        </w:rPr>
        <w:t>"The alarm and events service saves all alarms and events in Universal Coordinated Time (UTC) without any time zone offsets or daylight savings adjustments added."</w:t>
      </w:r>
    </w:p>
    <w:p>
      <w:pPr>
        <w:pStyle w:val="Heading2"/>
      </w:pPr>
      <w:r>
        <w:rPr>
          <w:sz w:val="21"/>
        </w:rPr>
        <w:t>Fuentes regulatorias utilizadas (corpus local, sin consulta a Internet)</w:t>
      </w:r>
    </w:p>
    <w:p>
      <w:r>
        <w:rPr>
          <w:sz w:val="21"/>
        </w:rPr>
        <w:t>Se determino que el corpus regulatorio local es vigente, integro y suficiente. Ver REGULATORY_SOURCE_CHECK.json para el detalle completo de los 6 criterios evaluados.</w:t>
      </w:r>
    </w:p>
    <w:p>
      <w:r>
        <w:rPr>
          <w:b/>
          <w:sz w:val="21"/>
        </w:rPr>
        <w:t xml:space="preserve">C1-FDA-11.10d: </w:t>
      </w:r>
      <w:r>
        <w:rPr>
          <w:sz w:val="21"/>
        </w:rPr>
        <w:t>eCFR www.ecfr.gov - Title 21 Part 11 completo — Section 11.10 Controls for closed systems, parrafo (d) 'Limiting system access to authorized individuals.' (SHA-256: e41aa1b33dd09397352820b6568b0619d8b61a7f340f550a09553e6fdd82c21e)</w:t>
      </w:r>
    </w:p>
    <w:p>
      <w:r>
        <w:rPr>
          <w:b/>
          <w:sz w:val="21"/>
        </w:rPr>
        <w:t xml:space="preserve">C2-ANNEX11-7.1 / C3-ANNEX11-12: </w:t>
      </w:r>
      <w:r>
        <w:rPr>
          <w:sz w:val="21"/>
        </w:rPr>
        <w:t>European Commission - EudraLex Volume 4, Annex 11 (health.ec.europa.eu) — 7. Data Storage (7.1, 7.2) y 12. Security (12.1, 12.2, 12.3) (SHA-256: 8ec11211ba33bf88ad4e71acc6bf60fd0e7823cfa495b116872e2c287e4aebbb)</w:t>
      </w:r>
    </w:p>
    <w:p>
      <w:r>
        <w:rPr>
          <w:b/>
          <w:sz w:val="21"/>
        </w:rPr>
        <w:t xml:space="preserve">C4-ALCOA-AVAILABLE: </w:t>
      </w:r>
      <w:r>
        <w:rPr>
          <w:sz w:val="21"/>
        </w:rPr>
        <w:t>MHRA GXP Data Integrity Guidance and Definitions, Revision 1, March 2018 — 3.10 - define ALCOA+ y el atributo 'Available' (datos completos, consistentes, perdurables y disponibles durante todo el ciclo de vida) (SHA-256: None)</w:t>
      </w:r>
    </w:p>
    <w:p>
      <w:pPr>
        <w:pStyle w:val="Heading2"/>
      </w:pPr>
      <w:r>
        <w:rPr>
          <w:sz w:val="21"/>
        </w:rPr>
        <w:t>Matriz de correcciones (actualizada)</w:t>
      </w:r>
    </w:p>
    <w:p>
      <w:pPr>
        <w:pStyle w:val="Heading3"/>
      </w:pPr>
      <w:r>
        <w:rPr>
          <w:sz w:val="21"/>
        </w:rPr>
        <w:t>COR-1 — Control de acceso y autorizacion</w:t>
      </w:r>
    </w:p>
    <w:p>
      <w:r>
        <w:rPr>
          <w:sz w:val="21"/>
        </w:rPr>
        <w:t>Agregar al FS una seccion de control de acceso: matriz de roles/usuarios, mecanismo de autenticacion y autorizacion (authority checks), y trazabilidad de que usuario genera/modifica cada dato. Referenciar el SOP de control de acceso vigente en vez de asumirlo implicito.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21_CFR_11.10(d)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1-3, 4-4, 5-6, 7-9, 10-13, 18-19, 20-21, 35-36, 51-52, 53-54, 56-56, 58-58 (no_cumple documentalmente; cita de pag 46-47 trasladada a COR-2, ver changelog)</w:t>
            </w:r>
          </w:p>
        </w:tc>
      </w:tr>
      <w:tr>
        <w:tc>
          <w:tcPr>
            <w:tcW w:type="dxa" w:w="1728"/>
          </w:tcPr>
          <w:p>
            <w:r>
              <w:t>21_CFR_11.10(g)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 (chunk 0)</w:t>
            </w:r>
          </w:p>
        </w:tc>
      </w:tr>
      <w:tr>
        <w:tc>
          <w:tcPr>
            <w:tcW w:type="dxa" w:w="1728"/>
          </w:tcPr>
          <w:p>
            <w:r>
              <w:t>ANNEX11_12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4-4, 7-9, 14-15, 18-19, 56-56, 58-58 (no_cumple documentalmente; cita UTC de pag 20-21 trasladada a ALCOA_CONSISTENT, ver changelog)</w:t>
            </w:r>
          </w:p>
        </w:tc>
      </w:tr>
      <w:tr>
        <w:tc>
          <w:tcPr>
            <w:tcW w:type="dxa" w:w="1728"/>
          </w:tcPr>
          <w:p>
            <w:r>
              <w:t>ALCOA_ATTRIBUTABLE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menor</w:t>
            </w:r>
          </w:p>
        </w:tc>
        <w:tc>
          <w:tcPr>
            <w:tcW w:type="dxa" w:w="1728"/>
          </w:tcPr>
          <w:p>
            <w:r>
              <w:t>pag 7-9 (chunk 3)</w:t>
            </w:r>
          </w:p>
        </w:tc>
      </w:tr>
    </w:tbl>
    <w:p/>
    <w:p>
      <w:pPr>
        <w:pStyle w:val="Heading3"/>
      </w:pPr>
      <w:r>
        <w:rPr>
          <w:sz w:val="21"/>
        </w:rPr>
        <w:t>COR-2 — Audit trail e integridad del dato (ALCOA+)</w:t>
      </w:r>
    </w:p>
    <w:p>
      <w:r>
        <w:rPr>
          <w:sz w:val="21"/>
        </w:rPr>
        <w:t>Agregar al FS una seccion de Audit Trail que describa: captura automatica con timestamp, preservacion del dato original, exactitud verificada (calibracion), completitud sin exclusiones, consistencia cronologica y perdurabilidad del registro. Esto cubre simultaneamente el requisito de audit trail de FDA/Annex11 y los 6 atributos ALCOA+ relacionados con el ciclo de vida del dato.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21_CFR_11.10(e)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evidencia_insuficiente</w:t>
            </w:r>
          </w:p>
        </w:tc>
        <w:tc>
          <w:tcPr>
            <w:tcW w:type="dxa" w:w="1728"/>
          </w:tcPr>
          <w:p>
            <w:r>
              <w:t>no_determinada</w:t>
            </w:r>
          </w:p>
        </w:tc>
        <w:tc>
          <w:tcPr>
            <w:tcW w:type="dxa" w:w="1728"/>
          </w:tcPr>
          <w:p>
            <w:r>
              <w:t>paginas 1-58 (todo el documento, por chunks)</w:t>
            </w:r>
          </w:p>
        </w:tc>
      </w:tr>
      <w:tr>
        <w:tc>
          <w:tcPr>
            <w:tcW w:type="dxa" w:w="1728"/>
          </w:tcPr>
          <w:p>
            <w:r>
              <w:t>ANNEX11_9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  <w:tr>
        <w:tc>
          <w:tcPr>
            <w:tcW w:type="dxa" w:w="1728"/>
          </w:tcPr>
          <w:p>
            <w:r>
              <w:t>ALCOA_CONTEMPORANEOUS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41-42 (chunk 17)</w:t>
            </w:r>
          </w:p>
        </w:tc>
      </w:tr>
      <w:tr>
        <w:tc>
          <w:tcPr>
            <w:tcW w:type="dxa" w:w="1728"/>
          </w:tcPr>
          <w:p>
            <w:r>
              <w:t>ALCOA_ORIGINAL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5-6 (chunk 2)</w:t>
            </w:r>
          </w:p>
        </w:tc>
      </w:tr>
      <w:tr>
        <w:tc>
          <w:tcPr>
            <w:tcW w:type="dxa" w:w="1728"/>
          </w:tcPr>
          <w:p>
            <w:r>
              <w:t>ALCOA_ACCURATE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  <w:tr>
        <w:tc>
          <w:tcPr>
            <w:tcW w:type="dxa" w:w="1728"/>
          </w:tcPr>
          <w:p>
            <w:r>
              <w:t>ALCOA_COMPLETE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41-42 (chunk 17)</w:t>
            </w:r>
          </w:p>
        </w:tc>
      </w:tr>
      <w:tr>
        <w:tc>
          <w:tcPr>
            <w:tcW w:type="dxa" w:w="1728"/>
          </w:tcPr>
          <w:p>
            <w:r>
              <w:t>ALCOA_CONSISTENT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  <w:tr>
        <w:tc>
          <w:tcPr>
            <w:tcW w:type="dxa" w:w="1728"/>
          </w:tcPr>
          <w:p>
            <w:r>
              <w:t>ALCOA_ENDURING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</w:tbl>
    <w:p/>
    <w:p>
      <w:pPr>
        <w:pStyle w:val="Heading3"/>
      </w:pPr>
      <w:r>
        <w:rPr>
          <w:sz w:val="21"/>
        </w:rPr>
        <w:t>COR-3 — Firma electronica</w:t>
      </w:r>
    </w:p>
    <w:p>
      <w:r>
        <w:rPr>
          <w:sz w:val="21"/>
        </w:rPr>
        <w:t>Agregar especificacion de firma electronica: manifestacion visible del firmante, vinculo logico/criptografico al registro firmado, y componentes de identificacion segun 21 CFR 11.200.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21_CFR_11.50_11.70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 (chunk 0)</w:t>
            </w:r>
          </w:p>
        </w:tc>
      </w:tr>
    </w:tbl>
    <w:p/>
    <w:p>
      <w:pPr>
        <w:pStyle w:val="Heading3"/>
      </w:pPr>
      <w:r>
        <w:rPr>
          <w:sz w:val="21"/>
        </w:rPr>
        <w:t>COR-4 — Validacion del sistema y gestion de riesgo</w:t>
      </w:r>
    </w:p>
    <w:p>
      <w:r>
        <w:rPr>
          <w:sz w:val="21"/>
        </w:rPr>
        <w:t>Referenciar en el FS el plan de validacion del sistema computarizado (protocolos IQ/OQ/PQ) y el analisis de riesgo GAMP 5 correspondiente.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21_CFR_11.10(a)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evidencia_insuficiente</w:t>
            </w:r>
          </w:p>
        </w:tc>
        <w:tc>
          <w:tcPr>
            <w:tcW w:type="dxa" w:w="1728"/>
          </w:tcPr>
          <w:p>
            <w:r>
              <w:t>no_determinada</w:t>
            </w:r>
          </w:p>
        </w:tc>
        <w:tc>
          <w:tcPr>
            <w:tcW w:type="dxa" w:w="1728"/>
          </w:tcPr>
          <w:p>
            <w:r>
              <w:t>paginas 1-58 (todo el documento, por chunks)</w:t>
            </w:r>
          </w:p>
        </w:tc>
      </w:tr>
      <w:tr>
        <w:tc>
          <w:tcPr>
            <w:tcW w:type="dxa" w:w="1728"/>
          </w:tcPr>
          <w:p>
            <w:r>
              <w:t>ANNEX11_4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</w:tbl>
    <w:p/>
    <w:p>
      <w:pPr>
        <w:pStyle w:val="Heading3"/>
      </w:pPr>
      <w:r>
        <w:rPr>
          <w:sz w:val="21"/>
        </w:rPr>
        <w:t>COR-5 — Almacenamiento, retencion y disponibilidad</w:t>
      </w:r>
    </w:p>
    <w:p>
      <w:r>
        <w:rPr>
          <w:sz w:val="21"/>
        </w:rPr>
        <w:t>Documentar politica de almacenamiento/backup, legibilidad a largo plazo, retencion de registros y disponibilidad para revision/auditoria.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ANNEX11_7.1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4-4:no_cumple, pag 7-9:no_cumple, pag 18-19:no_cumple, pag 20-21:cumple_parcialmente, pag 26-28:cumple_parcialmente, pag 35-36:cumple_parcialmente, pag 39-4</w:t>
            </w:r>
          </w:p>
        </w:tc>
      </w:tr>
      <w:tr>
        <w:tc>
          <w:tcPr>
            <w:tcW w:type="dxa" w:w="1728"/>
          </w:tcPr>
          <w:p>
            <w:r>
              <w:t>ANNEX11_17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  <w:tr>
        <w:tc>
          <w:tcPr>
            <w:tcW w:type="dxa" w:w="1728"/>
          </w:tcPr>
          <w:p>
            <w:r>
              <w:t>ALCOA_LEGIBLE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menor</w:t>
            </w:r>
          </w:p>
        </w:tc>
        <w:tc>
          <w:tcPr>
            <w:tcW w:type="dxa" w:w="1728"/>
          </w:tcPr>
          <w:p>
            <w:r>
              <w:t>pag 22-23 (chunk 9) (confirmado sin contradiccion por retry: pag 18-19)</w:t>
            </w:r>
          </w:p>
        </w:tc>
      </w:tr>
      <w:tr>
        <w:tc>
          <w:tcPr>
            <w:tcW w:type="dxa" w:w="1728"/>
          </w:tcPr>
          <w:p>
            <w:r>
              <w:t>ALCOA_AVAILABLE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 xml:space="preserve">pag 10-13:no_cumple, pag 22-23:cumple_parcialmente, pag 35-36:cumple_parcialmente, pag 41-42:no_cumple, pag 51-52:cumple_parcialmente, pag 53-54:no_cumple, pag </w:t>
            </w:r>
          </w:p>
        </w:tc>
      </w:tr>
    </w:tbl>
    <w:p/>
    <w:p>
      <w:pPr>
        <w:pStyle w:val="Heading2"/>
      </w:pPr>
      <w:r>
        <w:rPr>
          <w:sz w:val="21"/>
        </w:rPr>
        <w:t>Contradicciones (estado final)</w:t>
      </w:r>
    </w:p>
    <w:p>
      <w:r>
        <w:rPr>
          <w:b/>
          <w:sz w:val="21"/>
        </w:rPr>
        <w:t xml:space="preserve">21_CFR_11.10(d) (fda_part11_agent) — RESUELTA (falso_positivo): </w:t>
      </w:r>
      <w:r>
        <w:rPr>
          <w:sz w:val="21"/>
        </w:rPr>
        <w:t>pag 1-3:no_cumple, pag 4-4:no_cumple, pag 5-6:no_cumple, pag 7-9:no_cumple, pag 10-13:no_cumple, pag 18-19:no_cumple, pag 20-21:no_cumple, pag 35-36:no_cumple, pag 46-47:cumple_parcialmente, pag 51-52:no_cumple, pag 53-54:no_cumple, pag 56-56:no_cumple, pag 58-58:no_cumple</w:t>
      </w:r>
    </w:p>
    <w:p>
      <w:r>
        <w:rPr>
          <w:b/>
          <w:sz w:val="21"/>
        </w:rPr>
        <w:t xml:space="preserve">ANNEX11_7.1 (eu_annex11_agent) — RESUELTA (diferencia_de_alcance): </w:t>
      </w:r>
      <w:r>
        <w:rPr>
          <w:sz w:val="21"/>
        </w:rPr>
        <w:t>pag 4-4:no_cumple, pag 7-9:no_cumple, pag 18-19:no_cumple, pag 20-21:cumple_parcialmente, pag 26-28:cumple_parcialmente, pag 35-36:cumple_parcialmente, pag 39-40:cumple_parcialmente, pag 41-42:cumple_parcialmente, pag 56-56:no_cumple, pag 58-58:no_cumple</w:t>
      </w:r>
    </w:p>
    <w:p>
      <w:r>
        <w:rPr>
          <w:b/>
          <w:sz w:val="21"/>
        </w:rPr>
        <w:t xml:space="preserve">ANNEX11_12 (eu_annex11_agent) — RESUELTA (falso_positivo): </w:t>
      </w:r>
      <w:r>
        <w:rPr>
          <w:sz w:val="21"/>
        </w:rPr>
        <w:t>pag 4-4:no_cumple, pag 7-9:no_cumple, pag 14-15:no_cumple, pag 18-19:no_cumple, pag 20-21:cumple_parcialmente, pag 56-56:no_cumple, pag 58-58:no_cumple</w:t>
      </w:r>
    </w:p>
    <w:p>
      <w:r>
        <w:rPr>
          <w:b/>
          <w:sz w:val="21"/>
        </w:rPr>
        <w:t xml:space="preserve">ALCOA_AVAILABLE (alcoa_plus_agent) — RESUELTA (diferencia_de_alcance): </w:t>
      </w:r>
      <w:r>
        <w:rPr>
          <w:sz w:val="21"/>
        </w:rPr>
        <w:t>pag 10-13:no_cumple, pag 22-23:cumple_parcialmente, pag 35-36:cumple_parcialmente, pag 41-42:no_cumple, pag 51-52:cumple_parcialmente, pag 53-54:no_cumple, pag 58-58:cumple_parcialmente</w:t>
      </w:r>
    </w:p>
    <w:p>
      <w:pPr>
        <w:pStyle w:val="Heading2"/>
      </w:pPr>
      <w:r>
        <w:rPr>
          <w:sz w:val="21"/>
        </w:rPr>
        <w:t>Puntos pendientes</w:t>
      </w:r>
    </w:p>
    <w:p>
      <w:r>
        <w:rPr>
          <w:sz w:val="21"/>
        </w:rPr>
        <w:t>- Revision y aprobacion humana FORMAL de las 4 resoluciones tecnicas propuestas (registradas como decision_humana=true en el changelog de cada finding, pero pendientes de firma/aprobacion formal en el mecanismo de Capa 9).</w:t>
      </w:r>
    </w:p>
    <w:p>
      <w:r>
        <w:rPr>
          <w:sz w:val="21"/>
        </w:rPr>
        <w:t>- COR-1 (control de acceso) permanece ABIERTO: no se cierra automaticamente aunque 2 de sus contradicciones se resolvieron a no_cumple.</w:t>
      </w:r>
    </w:p>
    <w:p>
      <w:r>
        <w:rPr>
          <w:sz w:val="21"/>
        </w:rPr>
        <w:t>- COR-5 (almacenamiento/retencion/disponibilidad) permanece ABIERTO: brechas reescritas, no cerradas.</w:t>
      </w:r>
    </w:p>
    <w:p>
      <w:r>
        <w:rPr>
          <w:sz w:val="21"/>
        </w:rPr>
        <w:t>- REM-GMPAI-001 no se cierra por este anexo.</w:t>
      </w:r>
    </w:p>
    <w:p>
      <w:r>
        <w:rPr>
          <w:sz w:val="21"/>
        </w:rPr>
        <w:t>- La cita trasladada a ALCOA_CONSISTENT es informativa; requiere evaluacion propia antes de cambiar el estado de ese finding (ver alcoa_plus_agent.json, campo citas_trasladadas_recibidas).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