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EJECUTIVO: OPTIMIZACIÓN DE CARTERAS DE MARKOWITZ</w:t>
      </w:r>
    </w:p>
    <w:p>
      <w:r>
        <w:t>Análisis Cuantitativo Estricto Mensual y Simulación de Monte Carlo</w:t>
      </w:r>
    </w:p>
    <w:p>
      <w:pPr>
        <w:pStyle w:val="Heading1"/>
      </w:pPr>
      <w:r>
        <w:t>1. Resumen de la Cartera Óptima</w:t>
      </w:r>
    </w:p>
    <w:p>
      <w:r>
        <w:t>• Rendimiento Mensual Esperado: 1.603%</w:t>
        <w:br/>
        <w:t>• Volatilidad Mensual (σ_p): 7.000% (Restricción ≤ 7.00% cumplida)</w:t>
        <w:br/>
        <w:t>• Ratio de Sharpe Mensual (Rf=0): 0.2291</w:t>
        <w:br/>
        <w:t>• Total períodos analizados: 245 meses.</w:t>
      </w:r>
    </w:p>
    <w:p>
      <w:pPr>
        <w:pStyle w:val="Heading1"/>
      </w:pPr>
      <w:r>
        <w:t>2. Asignación Óptima de Capital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Activo</w:t>
            </w:r>
          </w:p>
        </w:tc>
        <w:tc>
          <w:tcPr>
            <w:tcW w:type="dxa" w:w="2880"/>
          </w:tcPr>
          <w:p>
            <w:r>
              <w:t>Ponderación (w)</w:t>
            </w:r>
          </w:p>
        </w:tc>
        <w:tc>
          <w:tcPr>
            <w:tcW w:type="dxa" w:w="2880"/>
          </w:tcPr>
          <w:p>
            <w:r>
              <w:t>Porcentaje (%)</w:t>
            </w:r>
          </w:p>
        </w:tc>
      </w:tr>
      <w:tr>
        <w:tc>
          <w:tcPr>
            <w:tcW w:type="dxa" w:w="2880"/>
          </w:tcPr>
          <w:p>
            <w:r>
              <w:t>PEÑOLES</w:t>
            </w:r>
          </w:p>
        </w:tc>
        <w:tc>
          <w:tcPr>
            <w:tcW w:type="dxa" w:w="2880"/>
          </w:tcPr>
          <w:p>
            <w:r>
              <w:t>0.3720</w:t>
            </w:r>
          </w:p>
        </w:tc>
        <w:tc>
          <w:tcPr>
            <w:tcW w:type="dxa" w:w="2880"/>
          </w:tcPr>
          <w:p>
            <w:r>
              <w:t>37.20%</w:t>
            </w:r>
          </w:p>
        </w:tc>
      </w:tr>
      <w:tr>
        <w:tc>
          <w:tcPr>
            <w:tcW w:type="dxa" w:w="2880"/>
          </w:tcPr>
          <w:p>
            <w:r>
              <w:t>GRUPO AEROPORTUARIO</w:t>
            </w:r>
          </w:p>
        </w:tc>
        <w:tc>
          <w:tcPr>
            <w:tcW w:type="dxa" w:w="2880"/>
          </w:tcPr>
          <w:p>
            <w:r>
              <w:t>0.3395</w:t>
            </w:r>
          </w:p>
        </w:tc>
        <w:tc>
          <w:tcPr>
            <w:tcW w:type="dxa" w:w="2880"/>
          </w:tcPr>
          <w:p>
            <w:r>
              <w:t>33.95%</w:t>
            </w:r>
          </w:p>
        </w:tc>
      </w:tr>
      <w:tr>
        <w:tc>
          <w:tcPr>
            <w:tcW w:type="dxa" w:w="2880"/>
          </w:tcPr>
          <w:p>
            <w:r>
              <w:t>GRUMA</w:t>
            </w:r>
          </w:p>
        </w:tc>
        <w:tc>
          <w:tcPr>
            <w:tcW w:type="dxa" w:w="2880"/>
          </w:tcPr>
          <w:p>
            <w:r>
              <w:t>0.2249</w:t>
            </w:r>
          </w:p>
        </w:tc>
        <w:tc>
          <w:tcPr>
            <w:tcW w:type="dxa" w:w="2880"/>
          </w:tcPr>
          <w:p>
            <w:r>
              <w:t>22.49%</w:t>
            </w:r>
          </w:p>
        </w:tc>
      </w:tr>
      <w:tr>
        <w:tc>
          <w:tcPr>
            <w:tcW w:type="dxa" w:w="2880"/>
          </w:tcPr>
          <w:p>
            <w:r>
              <w:t>FEMSA</w:t>
            </w:r>
          </w:p>
        </w:tc>
        <w:tc>
          <w:tcPr>
            <w:tcW w:type="dxa" w:w="2880"/>
          </w:tcPr>
          <w:p>
            <w:r>
              <w:t>0.0635</w:t>
            </w:r>
          </w:p>
        </w:tc>
        <w:tc>
          <w:tcPr>
            <w:tcW w:type="dxa" w:w="2880"/>
          </w:tcPr>
          <w:p>
            <w:r>
              <w:t>6.35%</w:t>
            </w:r>
          </w:p>
        </w:tc>
      </w:tr>
      <w:tr>
        <w:tc>
          <w:tcPr>
            <w:tcW w:type="dxa" w:w="2880"/>
          </w:tcPr>
          <w:p>
            <w:r>
              <w:t>BIMBOA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CEMEX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BANORTE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HERDEZ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KIMBERLY CLARK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WALMART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>
      <w:pPr>
        <w:pStyle w:val="Heading1"/>
      </w:pPr>
      <w:r>
        <w:t>3. Parámetros Estadísticos Mensuales Individuales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Activo</w:t>
            </w:r>
          </w:p>
        </w:tc>
        <w:tc>
          <w:tcPr>
            <w:tcW w:type="dxa" w:w="2160"/>
          </w:tcPr>
          <w:p>
            <w:r>
              <w:t>Rendimiento Mensual</w:t>
            </w:r>
          </w:p>
        </w:tc>
        <w:tc>
          <w:tcPr>
            <w:tcW w:type="dxa" w:w="2160"/>
          </w:tcPr>
          <w:p>
            <w:r>
              <w:t>Volatilidad Mensual</w:t>
            </w:r>
          </w:p>
        </w:tc>
        <w:tc>
          <w:tcPr>
            <w:tcW w:type="dxa" w:w="2160"/>
          </w:tcPr>
          <w:p>
            <w:r>
              <w:t>Sharpe (Rf=0)</w:t>
            </w:r>
          </w:p>
        </w:tc>
      </w:tr>
      <w:tr>
        <w:tc>
          <w:tcPr>
            <w:tcW w:type="dxa" w:w="2160"/>
          </w:tcPr>
          <w:p>
            <w:r>
              <w:t>BIMBOA</w:t>
            </w:r>
          </w:p>
        </w:tc>
        <w:tc>
          <w:tcPr>
            <w:tcW w:type="dxa" w:w="2160"/>
          </w:tcPr>
          <w:p>
            <w:r>
              <w:t>0.96%</w:t>
            </w:r>
          </w:p>
        </w:tc>
        <w:tc>
          <w:tcPr>
            <w:tcW w:type="dxa" w:w="2160"/>
          </w:tcPr>
          <w:p>
            <w:r>
              <w:t>6.68%</w:t>
            </w:r>
          </w:p>
        </w:tc>
        <w:tc>
          <w:tcPr>
            <w:tcW w:type="dxa" w:w="2160"/>
          </w:tcPr>
          <w:p>
            <w:r>
              <w:t>0.1441</w:t>
            </w:r>
          </w:p>
        </w:tc>
      </w:tr>
      <w:tr>
        <w:tc>
          <w:tcPr>
            <w:tcW w:type="dxa" w:w="2160"/>
          </w:tcPr>
          <w:p>
            <w:r>
              <w:t>CEMEX</w:t>
            </w:r>
          </w:p>
        </w:tc>
        <w:tc>
          <w:tcPr>
            <w:tcW w:type="dxa" w:w="2160"/>
          </w:tcPr>
          <w:p>
            <w:r>
              <w:t>0.61%</w:t>
            </w:r>
          </w:p>
        </w:tc>
        <w:tc>
          <w:tcPr>
            <w:tcW w:type="dxa" w:w="2160"/>
          </w:tcPr>
          <w:p>
            <w:r>
              <w:t>11.11%</w:t>
            </w:r>
          </w:p>
        </w:tc>
        <w:tc>
          <w:tcPr>
            <w:tcW w:type="dxa" w:w="2160"/>
          </w:tcPr>
          <w:p>
            <w:r>
              <w:t>0.0547</w:t>
            </w:r>
          </w:p>
        </w:tc>
      </w:tr>
      <w:tr>
        <w:tc>
          <w:tcPr>
            <w:tcW w:type="dxa" w:w="2160"/>
          </w:tcPr>
          <w:p>
            <w:r>
              <w:t>FEMSA</w:t>
            </w:r>
          </w:p>
        </w:tc>
        <w:tc>
          <w:tcPr>
            <w:tcW w:type="dxa" w:w="2160"/>
          </w:tcPr>
          <w:p>
            <w:r>
              <w:t>1.12%</w:t>
            </w:r>
          </w:p>
        </w:tc>
        <w:tc>
          <w:tcPr>
            <w:tcW w:type="dxa" w:w="2160"/>
          </w:tcPr>
          <w:p>
            <w:r>
              <w:t>6.67%</w:t>
            </w:r>
          </w:p>
        </w:tc>
        <w:tc>
          <w:tcPr>
            <w:tcW w:type="dxa" w:w="2160"/>
          </w:tcPr>
          <w:p>
            <w:r>
              <w:t>0.1677</w:t>
            </w:r>
          </w:p>
        </w:tc>
      </w:tr>
      <w:tr>
        <w:tc>
          <w:tcPr>
            <w:tcW w:type="dxa" w:w="2160"/>
          </w:tcPr>
          <w:p>
            <w:r>
              <w:t>GRUPO AEROPORTUARIO</w:t>
            </w:r>
          </w:p>
        </w:tc>
        <w:tc>
          <w:tcPr>
            <w:tcW w:type="dxa" w:w="2160"/>
          </w:tcPr>
          <w:p>
            <w:r>
              <w:t>1.55%</w:t>
            </w:r>
          </w:p>
        </w:tc>
        <w:tc>
          <w:tcPr>
            <w:tcW w:type="dxa" w:w="2160"/>
          </w:tcPr>
          <w:p>
            <w:r>
              <w:t>8.37%</w:t>
            </w:r>
          </w:p>
        </w:tc>
        <w:tc>
          <w:tcPr>
            <w:tcW w:type="dxa" w:w="2160"/>
          </w:tcPr>
          <w:p>
            <w:r>
              <w:t>0.1854</w:t>
            </w:r>
          </w:p>
        </w:tc>
      </w:tr>
      <w:tr>
        <w:tc>
          <w:tcPr>
            <w:tcW w:type="dxa" w:w="2160"/>
          </w:tcPr>
          <w:p>
            <w:r>
              <w:t>BANORTE</w:t>
            </w:r>
          </w:p>
        </w:tc>
        <w:tc>
          <w:tcPr>
            <w:tcW w:type="dxa" w:w="2160"/>
          </w:tcPr>
          <w:p>
            <w:r>
              <w:t>1.21%</w:t>
            </w:r>
          </w:p>
        </w:tc>
        <w:tc>
          <w:tcPr>
            <w:tcW w:type="dxa" w:w="2160"/>
          </w:tcPr>
          <w:p>
            <w:r>
              <w:t>8.86%</w:t>
            </w:r>
          </w:p>
        </w:tc>
        <w:tc>
          <w:tcPr>
            <w:tcW w:type="dxa" w:w="2160"/>
          </w:tcPr>
          <w:p>
            <w:r>
              <w:t>0.1368</w:t>
            </w:r>
          </w:p>
        </w:tc>
      </w:tr>
      <w:tr>
        <w:tc>
          <w:tcPr>
            <w:tcW w:type="dxa" w:w="2160"/>
          </w:tcPr>
          <w:p>
            <w:r>
              <w:t>GRUMA</w:t>
            </w:r>
          </w:p>
        </w:tc>
        <w:tc>
          <w:tcPr>
            <w:tcW w:type="dxa" w:w="2160"/>
          </w:tcPr>
          <w:p>
            <w:r>
              <w:t>1.49%</w:t>
            </w:r>
          </w:p>
        </w:tc>
        <w:tc>
          <w:tcPr>
            <w:tcW w:type="dxa" w:w="2160"/>
          </w:tcPr>
          <w:p>
            <w:r>
              <w:t>11.03%</w:t>
            </w:r>
          </w:p>
        </w:tc>
        <w:tc>
          <w:tcPr>
            <w:tcW w:type="dxa" w:w="2160"/>
          </w:tcPr>
          <w:p>
            <w:r>
              <w:t>0.1354</w:t>
            </w:r>
          </w:p>
        </w:tc>
      </w:tr>
      <w:tr>
        <w:tc>
          <w:tcPr>
            <w:tcW w:type="dxa" w:w="2160"/>
          </w:tcPr>
          <w:p>
            <w:r>
              <w:t>HERDEZ</w:t>
            </w:r>
          </w:p>
        </w:tc>
        <w:tc>
          <w:tcPr>
            <w:tcW w:type="dxa" w:w="2160"/>
          </w:tcPr>
          <w:p>
            <w:r>
              <w:t>1.04%</w:t>
            </w:r>
          </w:p>
        </w:tc>
        <w:tc>
          <w:tcPr>
            <w:tcW w:type="dxa" w:w="2160"/>
          </w:tcPr>
          <w:p>
            <w:r>
              <w:t>6.99%</w:t>
            </w:r>
          </w:p>
        </w:tc>
        <w:tc>
          <w:tcPr>
            <w:tcW w:type="dxa" w:w="2160"/>
          </w:tcPr>
          <w:p>
            <w:r>
              <w:t>0.1493</w:t>
            </w:r>
          </w:p>
        </w:tc>
      </w:tr>
      <w:tr>
        <w:tc>
          <w:tcPr>
            <w:tcW w:type="dxa" w:w="2160"/>
          </w:tcPr>
          <w:p>
            <w:r>
              <w:t>KIMBERLY CLARK</w:t>
            </w:r>
          </w:p>
        </w:tc>
        <w:tc>
          <w:tcPr>
            <w:tcW w:type="dxa" w:w="2160"/>
          </w:tcPr>
          <w:p>
            <w:r>
              <w:t>0.70%</w:t>
            </w:r>
          </w:p>
        </w:tc>
        <w:tc>
          <w:tcPr>
            <w:tcW w:type="dxa" w:w="2160"/>
          </w:tcPr>
          <w:p>
            <w:r>
              <w:t>5.97%</w:t>
            </w:r>
          </w:p>
        </w:tc>
        <w:tc>
          <w:tcPr>
            <w:tcW w:type="dxa" w:w="2160"/>
          </w:tcPr>
          <w:p>
            <w:r>
              <w:t>0.1179</w:t>
            </w:r>
          </w:p>
        </w:tc>
      </w:tr>
      <w:tr>
        <w:tc>
          <w:tcPr>
            <w:tcW w:type="dxa" w:w="2160"/>
          </w:tcPr>
          <w:p>
            <w:r>
              <w:t>PEÑOLES</w:t>
            </w:r>
          </w:p>
        </w:tc>
        <w:tc>
          <w:tcPr>
            <w:tcW w:type="dxa" w:w="2160"/>
          </w:tcPr>
          <w:p>
            <w:r>
              <w:t>1.80%</w:t>
            </w:r>
          </w:p>
        </w:tc>
        <w:tc>
          <w:tcPr>
            <w:tcW w:type="dxa" w:w="2160"/>
          </w:tcPr>
          <w:p>
            <w:r>
              <w:t>12.86%</w:t>
            </w:r>
          </w:p>
        </w:tc>
        <w:tc>
          <w:tcPr>
            <w:tcW w:type="dxa" w:w="2160"/>
          </w:tcPr>
          <w:p>
            <w:r>
              <w:t>0.1400</w:t>
            </w:r>
          </w:p>
        </w:tc>
      </w:tr>
      <w:tr>
        <w:tc>
          <w:tcPr>
            <w:tcW w:type="dxa" w:w="2160"/>
          </w:tcPr>
          <w:p>
            <w:r>
              <w:t>WALMART</w:t>
            </w:r>
          </w:p>
        </w:tc>
        <w:tc>
          <w:tcPr>
            <w:tcW w:type="dxa" w:w="2160"/>
          </w:tcPr>
          <w:p>
            <w:r>
              <w:t>0.67%</w:t>
            </w:r>
          </w:p>
        </w:tc>
        <w:tc>
          <w:tcPr>
            <w:tcW w:type="dxa" w:w="2160"/>
          </w:tcPr>
          <w:p>
            <w:r>
              <w:t>6.12%</w:t>
            </w:r>
          </w:p>
        </w:tc>
        <w:tc>
          <w:tcPr>
            <w:tcW w:type="dxa" w:w="2160"/>
          </w:tcPr>
          <w:p>
            <w:r>
              <w:t>0.1094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