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500"/>
        <w:jc w:val="center"/>
      </w:pPr>
      <w:r>
        <w:drawing>
          <wp:inline xmlns:a="http://schemas.openxmlformats.org/drawingml/2006/main" xmlns:pic="http://schemas.openxmlformats.org/drawingml/2006/picture">
            <wp:extent cx="2194560" cy="1466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ivers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0" w:after="120"/>
        <w:jc w:val="center"/>
      </w:pPr>
      <w:r>
        <w:rPr>
          <w:rFonts w:ascii="Times New Roman" w:hAnsi="Times New Roman"/>
          <w:b/>
          <w:sz w:val="28"/>
        </w:rPr>
        <w:t>TRABAJO</w:t>
      </w:r>
    </w:p>
    <w:p>
      <w:pPr>
        <w:spacing w:after="700"/>
        <w:jc w:val="center"/>
      </w:pPr>
      <w:r>
        <w:rPr>
          <w:rFonts w:ascii="Times New Roman" w:hAnsi="Times New Roman"/>
          <w:b/>
          <w:sz w:val="28"/>
        </w:rPr>
        <w:t>Portafolio diversificado usando rendimientos reales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Presentan:</w:t>
      </w:r>
    </w:p>
    <w:p>
      <w:pPr>
        <w:spacing w:after="600"/>
        <w:jc w:val="center"/>
      </w:pPr>
      <w:r>
        <w:rPr>
          <w:rFonts w:ascii="Times New Roman" w:hAnsi="Times New Roman"/>
          <w:b/>
          <w:sz w:val="24"/>
        </w:rPr>
        <w:t>Cristian Andres Cordoba Gonzalez (Colombia)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Profesor:</w:t>
      </w:r>
    </w:p>
    <w:p>
      <w:pPr>
        <w:spacing w:after="700"/>
        <w:jc w:val="center"/>
      </w:pPr>
      <w:r>
        <w:rPr>
          <w:rFonts w:ascii="Times New Roman" w:hAnsi="Times New Roman"/>
          <w:b/>
          <w:sz w:val="24"/>
        </w:rPr>
        <w:t>Daniel Vázquez Cotera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Broward International University</w:t>
      </w:r>
    </w:p>
    <w:p>
      <w:pPr>
        <w:spacing w:after="700"/>
        <w:jc w:val="center"/>
      </w:pPr>
      <w:r>
        <w:rPr>
          <w:rFonts w:ascii="Times New Roman" w:hAnsi="Times New Roman"/>
          <w:sz w:val="24"/>
        </w:rPr>
        <w:t>Financial Management with Artificial Intelligence MBA</w:t>
      </w:r>
    </w:p>
    <w:p>
      <w:pPr>
        <w:jc w:val="center"/>
      </w:pPr>
      <w:r>
        <w:rPr>
          <w:rFonts w:ascii="Times New Roman" w:hAnsi="Times New Roman"/>
          <w:sz w:val="22"/>
        </w:rPr>
        <w:t>13 de septiembre de 2026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INFORME CUANTITATIVO DE GESTIÓN Y OPTIMIZACIÓN DE CARTERAS</w:t>
      </w:r>
    </w:p>
    <w:p>
      <w:pPr>
        <w:spacing w:after="280"/>
      </w:pPr>
      <w:r>
        <w:rPr>
          <w:rFonts w:ascii="Arial" w:hAnsi="Arial"/>
          <w:i/>
          <w:color w:val="64748B"/>
          <w:sz w:val="24"/>
        </w:rPr>
        <w:t>Aplicación Estricta de la Teoría de Markowitz y Simulación de Monte Carlo (Datos Mensuales)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📅 Período Analizado: 31/03/2006 - 06/07/2026</w:t>
            </w:r>
          </w:p>
        </w:tc>
        <w:tc>
          <w:tcPr>
            <w:tcW w:type="dxa" w:w="47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🏢 Universo: 10 Acciones BMV + IPC</w:t>
            </w:r>
          </w:p>
        </w:tc>
      </w:tr>
      <w:tr>
        <w:tc>
          <w:tcPr>
            <w:tcW w:type="dxa" w:w="47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🎯 Restricción de Riesgo: σ_p ≤ 7.0% mensual</w:t>
            </w:r>
          </w:p>
        </w:tc>
        <w:tc>
          <w:tcPr>
            <w:tcW w:type="dxa" w:w="475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🤖 Agente: Cuantitativo Financiero Autónomo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B365D"/>
        </w:rPr>
        <w:t>1. Resumen Ejecutivo</w:t>
      </w:r>
    </w:p>
    <w:p>
      <w:pPr>
        <w:spacing w:after="200" w:line="276" w:lineRule="auto"/>
      </w:pPr>
      <w:r>
        <w:t>El Agente Cuantitativo ha analizado 10 activos del mercado bursátil mexicano a lo largo de 245 meses continuos (Mar 2006 a Jul 2026). Bajo la restricción estricta de riesgo mensual (σ_p ≤ 7.0%), la cartera óptima de Markowitz alcanza un rendimiento mensual esperado de 1.61% con una volatilidad mensual de 7.00% (Ratio de Sharpe mensual: 0.2307). La cartera concentra su capital en 4 activos líderes que maximizan el retorno gracias a correlaciones moderadas y perfiles de retorno positivos, superando al 100.0% de las 1,000 carteras simuladas por Monte Carlo.</w:t>
      </w:r>
    </w:p>
    <w:p>
      <w:pPr>
        <w:pStyle w:val="Heading1"/>
      </w:pPr>
      <w:r>
        <w:rPr>
          <w:color w:val="1B365D"/>
        </w:rPr>
        <w:t>2. Cumplimiento de Reglas Metodológicas Estrictas</w:t>
      </w:r>
    </w:p>
    <w:p>
      <w:pPr>
        <w:spacing w:line="276" w:lineRule="auto"/>
      </w:pPr>
      <w:r>
        <w:rPr>
          <w:b/>
        </w:rPr>
        <w:t xml:space="preserve">• Regla del Tiempo Crítica: </w:t>
      </w:r>
      <w:r>
        <w:t>Se auditaron 245 observaciones mensuales consecutivas desde Mar 2006 hasta Jul 2026. ✅ Se verificó y validó el orden cronológico estricto de pasado a presente antes del cálculo de tasas de crecimiento mensuales.</w:t>
        <w:br/>
      </w:r>
      <w:r>
        <w:rPr>
          <w:b/>
        </w:rPr>
        <w:t xml:space="preserve">• Regla de No Anualización: </w:t>
      </w:r>
      <w:r>
        <w:t>Todos los cálculos matemáticos (retornos, varianzas, desviaciones estándar y covarianzas) permanecen estrictamente mensuales. No se aplicó el factor 12 ni √12.</w:t>
        <w:br/>
      </w:r>
      <w:r>
        <w:rPr>
          <w:b/>
        </w:rPr>
        <w:t xml:space="preserve">• Exclusión del IPC: </w:t>
      </w:r>
      <w:r>
        <w:t>El índice IPC fue excluido estrictamente de la optimización del portafolio y se utilizó únicamente como benchmark de mercado para Alpha y Beta.</w:t>
        <w:br/>
      </w:r>
      <w:r>
        <w:rPr>
          <w:b/>
        </w:rPr>
        <w:t xml:space="preserve">• Restricciones de Cartera: </w:t>
      </w:r>
      <w:r>
        <w:t>100% del capital invertido (Σ w_i = 1), solo posiciones largas (w_i ≥ 0) y riesgo mensual acotado a σ_p ≤ 7.0%.</w:t>
      </w:r>
    </w:p>
    <w:p>
      <w:pPr>
        <w:pStyle w:val="Heading1"/>
      </w:pPr>
      <w:r>
        <w:rPr>
          <w:color w:val="1B365D"/>
        </w:rPr>
        <w:t>3. Parámetros Estadísticos Mensuales Individuales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Retorno Mensual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Volatilidad Mensual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Varianza Mensual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Sharpe (Rf=0)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BIMBOA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0.96%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6.68%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0.00447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0.1441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CEMEX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0.61%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11.11%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0.01234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0.0547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FEMSA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1.12%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6.67%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0.00445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0.1677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GRUPO AEROPORTUARIO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1.55%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8.37%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0.00700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0.1854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BANORTE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1.21%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8.86%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0.00785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0.1368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GRUMA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1.49%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11.03%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0.01216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0.1354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HERDEZ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1.04%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6.99%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0.00489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0.1493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KIMBERLY CLARK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0.70%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5.97%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0.00357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0.1179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PEÑOLES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1.80%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12.86%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0.01654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0.1400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WALMART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0.67%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6.12%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0.00374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0.1094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4. Cartera Óptima de Markowitz (σ_p ≤ 7.0% Mensual)</w:t>
      </w:r>
    </w:p>
    <w:p>
      <w:pPr>
        <w:spacing w:line="276" w:lineRule="auto"/>
      </w:pPr>
      <w:r>
        <w:rPr>
          <w:b/>
        </w:rPr>
        <w:t xml:space="preserve">• Rendimiento Mensual Esperado (μ_p): </w:t>
      </w:r>
      <w:r>
        <w:t>1.615%</w:t>
        <w:br/>
      </w:r>
      <w:r>
        <w:rPr>
          <w:b/>
        </w:rPr>
        <w:t xml:space="preserve">• Volatilidad Mensual de la Cartera (σ_p): </w:t>
      </w:r>
      <w:r>
        <w:t>7.000% (Restricción de ≤ 7.00% satisfecha)</w:t>
        <w:br/>
      </w:r>
      <w:r>
        <w:rPr>
          <w:b/>
        </w:rPr>
        <w:t xml:space="preserve">• Ratio de Sharpe Mensual (Rf=0): </w:t>
      </w:r>
      <w:r>
        <w:t>0.2307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Ponderación Decimal (w_i)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Asignación Porcentual (%)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GRUPO AEROPORTUARIO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49.25%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PEÑOLES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0.3168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rPr>
                <w:b/>
              </w:rPr>
              <w:t>31.68%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GRUMA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0.1789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17.89%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FEMSA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0.0118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rPr>
                <w:b/>
              </w:rPr>
              <w:t>1.18%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BIMBOA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CEMEX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BANORTE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HERDEZ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</w:rPr>
              <w:t>KIMBERLY CLARK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0.00%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left"/>
            </w:pPr>
            <w:r>
              <w:rPr>
                <w:b/>
              </w:rPr>
              <w:t>WALMART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shd w:fill="F4F6F9"/>
          </w:tcPr>
          <w:p>
            <w:pPr>
              <w:jc w:val="right"/>
            </w:pPr>
            <w:r>
              <w:t>0.00%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5. Simulación de Monte Carlo y Asignación Gráfica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9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Nube de 1,000 carteras aleatorias de Monte Carlo, Cartera Óptima y Benchmark.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892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2: Distribución de pesos óptimos del portafolio en posiciones largas.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196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3: Matriz de calor de correlaciones mensuales entre activos.</w:t>
      </w:r>
    </w:p>
    <w:p>
      <w:pPr>
        <w:pStyle w:val="Heading1"/>
      </w:pPr>
      <w:r>
        <w:rPr>
          <w:color w:val="1B365D"/>
        </w:rPr>
        <w:t>6. Evaluación frente al Benchmark de Mercado (IPC)</w:t>
      </w:r>
    </w:p>
    <w:p>
      <w:pPr>
        <w:spacing w:line="276" w:lineRule="auto"/>
      </w:pPr>
      <w:r>
        <w:t>### Desempeño Comparativo frente al Benchmark (IPC)</w:t>
        <w:br/>
        <w:t>🔹 **Rendimiento Mensual IPC**: 0.07% (vs 1.61% de la Cartera Óptima).</w:t>
        <w:br/>
        <w:t>🔹 **Volatilidad Mensual IPC**: 1.10% (vs 7.00% de la Cartera Óptima).</w:t>
        <w:br/>
        <w:t>🔹 **Beta de la Cartera (β)**: -0.079. La cartera presenta menor sensibilidad sistemática que el mercado (β &lt; 1.0).</w:t>
        <w:br/>
        <w:t>🔹 **Alpha Mensual de Jensen (α)**: +1.62% mensual. Indica generación de valor activo por encima del premio por riesgo de mercado.</w:t>
        <w:br/>
        <w:t>🔹 **Correlación con el IPC**: -0.01.</w:t>
        <w:br/>
        <w:t>🔹 **Rendimiento Acumulado Histórico**: Cartera Óptima (+2707.0%) vs IPC (+17.5%).</w:t>
      </w:r>
    </w:p>
    <w:p>
      <w:pPr>
        <w:pStyle w:val="Heading1"/>
      </w:pPr>
      <w:r>
        <w:rPr>
          <w:color w:val="1B365D"/>
        </w:rPr>
        <w:t>7. Dictamen del Agente Cuantitativo Financiero Autónomo</w:t>
      </w:r>
    </w:p>
    <w:p>
      <w:pPr>
        <w:spacing w:line="276" w:lineRule="auto"/>
      </w:pPr>
      <w:r>
        <w:t>### Estructura y Justificación de la Cartera Óptima</w:t>
        <w:br/>
        <w:t>La restricción de riesgo mensual (σ_p ≤ 7.00%) se encuentra activa y saturada exactamente al 7.00%. El algoritmo SLSQP aprovechó todo el presupuesto de volatilidad disponible para alcanzar el máximo retorno mensual esperado.</w:t>
        <w:br/>
        <w:br/>
        <w:t>**Distribución del Capital:**</w:t>
        <w:br/>
        <w:t>- **GRUPO AEROPORTUARIO (49.3%)**: Retorno mensual de 1.55%, Volatilidad de 8.37%.</w:t>
        <w:br/>
        <w:t>- **PEÑOLES (31.7%)**: Retorno mensual de 1.80%, Volatilidad de 12.86%.</w:t>
        <w:br/>
        <w:t>- **GRUMA (17.9%)**: Retorno mensual de 1.49%, Volatilidad de 11.03%.</w:t>
        <w:br/>
        <w:t>- **FEMSA (1.2%)**: Retorno mensual de 1.12%, Volatilidad de 6.67%.</w:t>
        <w:br/>
        <w:br/>
        <w:t>**Activos con Ponderación 0% (BIMBOA, CEMEX, BANORTE, HERDEZ, KIMBERLY CLARK, WALMART):**</w:t>
        <w:br/>
        <w:t>Bajo la optimización cuadrática de Markowitz, estos activos fueron descartados o reducidos a 0% debido a que presentaban un ratio rendimiento/volatilidad dominado o porque su covarianza con los activos líderes no aportaba una reducción eficiente de varianza que justificara diluir el rendimiento esperado.</w:t>
        <w:br/>
        <w:br/>
      </w:r>
      <w:r>
        <w:t>Se ejecutó una simulación de Monte Carlo con 1,000 asignaciones aleatorias uniformes sobre el símplex.</w:t>
        <w:br/>
        <w:t>🔹 La cartera óptima se sitúa en el **percentil 100.0%** de rendimiento mensual frente a las carteras aleatorias.</w:t>
        <w:br/>
        <w:t>🔹 En términos de eficiencia ajustada por riesgo, el Ratio de Sharpe de la cartera óptima (0.2307) supera al **68.5%** de todas las carteras simuladas.</w:t>
        <w:br/>
        <w:t>🔹 Rendimiento mensual promedio de la nube aleatoria: 1.12% (vs 1.61% óptimo).</w:t>
        <w:br/>
        <w:t>🔹 Volatilidad mensual promedio de la nube aleatoria: 5.24% (vs 7.00% óptimo).</w:t>
        <w:br/>
        <w:t>Esto evidencia de manera contundente la superioridad matemática de la frontera eficiente sobre una selección ingenua o arbitraria.</w:t>
        <w:br/>
        <w:br/>
      </w:r>
      <w:r>
        <w:t>### Recomendaciones Estratégicas para el Comité de Inversión (MBA Level):</w:t>
        <w:br/>
        <w:br/>
        <w:t>1. **Disciplina de Rebalanceo Dinámico**: Se aconseja un protocolo trimestral complementado con bandas de tolerancia porcentual del ±3.5% absoluto sobre las ponderaciones meta, para mitigar el arrastre por inercia de precios sin incurrir en fricciones transaccionales excesivas.</w:t>
        <w:br/>
        <w:br/>
        <w:t>2. **Ejecución Algorítmica y Liquidez**: Dada la concentración en activos de mediana y alta bursatilidad en la BMV, las órdenes de entrada y rebalanceo deben estructurarse mediante algoritmos TWAP/VWAP para evitar impactos de mercado (market impact).</w:t>
        <w:br/>
        <w:br/>
        <w:t>3. **Monitoreo Macroeconómico de Banxico y Tipo de Cambio**: Activos de materias primas (como Peñoles) y de logística/turismo (como ASUR) exhiben sensibilidad diferenciada a la paridad USD/MXN y las tasas de interés de Banxico, actuando como cobertura natural ante depreciaciones cambiarias.</w:t>
        <w:br/>
        <w:br/>
        <w:t>4. **Control del Presupuesto de Riesgo (σ_p ≤ 7.00%)**: Dado que la restricción de volatilidad mensual opera en su cota superior, si el entorno macroeconómico experimenta un choque de volatilidad (VIX o volatilidad histórica al alza), se requerirá trasladar ponderación hacia activos de consumo defensivo.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