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Ernie Chan – «Algorithmic Trading»</w:t>
      </w:r>
    </w:p>
    <w:p>
      <w:pPr>
        <w:jc w:val="center"/>
        <w:pBdr>
          <w:bottom w:val="single" w:sz="6" w:space="1" w:color="4472C4"/>
        </w:pBdr>
      </w:pPr>
    </w:p>
    <w:p>
      <w:pPr>
        <w:pStyle w:val="Subtitle"/>
        <w:jc w:val="center"/>
      </w:pPr>
      <w:r>
        <w:t>Sammendrag og kapittel-for-kapittel oppsummering</w:t>
      </w:r>
    </w:p>
    <w:p/>
    <w:tbl>
      <w:tblPr>
        <w:tblW w:type="auto" w:w="0"/>
        <w:jc w:val="center"/>
        <w:tblLayout w:type="autofit"/>
        <w:tblLook w:firstColumn="1" w:firstRow="1" w:lastColumn="0" w:lastRow="0" w:noHBand="0" w:noVBand="1" w:val="04A0"/>
      </w:tblPr>
      <w:tblGrid>
        <w:gridCol w:w="9360"/>
      </w:tblGrid>
      <w:tr>
        <w:tc>
          <w:tcPr>
            <w:tcW w:type="dxa" w:w="8928"/>
            <w:vAlign w:val="center"/>
            <w:shd w:fill="E9EEF5"/>
          </w:tcPr>
          <w:p>
            <w:pPr>
              <w:spacing w:after="0"/>
            </w:pPr>
            <w:r>
              <w:rPr>
                <w:b/>
              </w:rPr>
              <w:t xml:space="preserve">Kjernetanke. </w:t>
            </w:r>
            <w:r>
              <w:t>Boka behandler algoritmisk trading som en vitenskapelig prosess: finn en plausibel edge, test den strengt, implementer den realistisk, og beskytt kapitalen når markedet endrer regime.</w:t>
            </w:r>
          </w:p>
        </w:tc>
      </w:tr>
    </w:tbl>
    <w:p/>
    <w:p>
      <w:pPr>
        <w:pStyle w:val="Heading1"/>
      </w:pPr>
      <w:r>
        <w:t>Kort sammendrag</w:t>
      </w:r>
    </w:p>
    <w:p>
      <w:r>
        <w:t>Hovedideen i Algorithmic Trading: Winning Strategies and Their Rationale er at algoritmisk trading bør behandles som en vitenskapelig prosess: start med en enkel, testbar hypotese om hvorfor en edge skal eksistere, test den strengt, og bygg så en robust implementasjon rundt den. Chan legger vekt på praktiske eksempler fremfor ren teori, og på enkle, lineære strategier som motvekt mot overtilpasning.</w:t>
      </w:r>
    </w:p>
    <w:p>
      <w:r>
        <w:t>Backtesting er fundamentet, men også den største fellen. Mange strategier ser gode ut bare fordi testen er feil, særlig på grunn av look-ahead bias, survivorship bias og data-snooping eller overfitting. Chan understreker også at høyfrekvente og intradag-strategier er svært følsomme for antakelser om transaksjonskostnader og ordreutførelse.</w:t>
      </w:r>
    </w:p>
    <w:p>
      <w:r>
        <w:t>De to hovedfamiliene av strategier i boka er mean reversion og momentum. Mean reversion får mest plass, noe som viser at Chan ser denne familien som en særlig viktig og praktisk kilde til systematisk alfa. Han bruker mye tid på hvordan man identifiserer om en serie eller spread faktisk er mean reverting, og hvordan slike signaler kan implementeres i praksis.</w:t>
      </w:r>
    </w:p>
    <w:p>
      <w:r>
        <w:t>Automatisert eksekvering behandles som en del av strategien, ikke bare som drift. En edge som ser bra ut i et regneark kan forsvinne når man tar hensyn til spread, slippage, ordretype og praktiske begrensninger i handelsplattformen. Derfor må forskning og eksekvering henge tett sammen.</w:t>
      </w:r>
    </w:p>
    <w:p>
      <w:r>
        <w:t>Risikostyring er heller ikke pynt, men en del av alfaen. Chan legger vekt på posisjonsstørrelse, drawdown-kontroll, stop-loss og regimeskifter. En strategi uten robust sizing og tapskontroll er etter hans syn ikke en ferdig strategi.</w:t>
      </w:r>
    </w:p>
    <w:p>
      <w:r>
        <w:t>Kort sagt: boka handler mindre om å finne den mest kompliserte modellen, og mer om å bygge en enkel, plausibel og robust strategi som overlever møtet med virkelige markeder.</w:t>
      </w:r>
    </w:p>
    <w:p>
      <w:pPr>
        <w:pStyle w:val="Heading1"/>
      </w:pPr>
      <w:r>
        <w:t>Kapittel-for-kapittel oppsummering</w:t>
      </w:r>
    </w:p>
    <w:p>
      <w:pPr>
        <w:pStyle w:val="Heading2"/>
      </w:pPr>
      <w:r>
        <w:t>Kapittel 1 – Backtesting and Automated Execution</w:t>
      </w:r>
    </w:p>
    <w:p>
      <w:r>
        <w:t>Chan starter med det viktigste først: en strategi er verdiløs hvis backtesten er misvisende. Han går særlig inn på look-ahead bias, data-snooping og overfitting, samt hvorfor det er en stor fordel når samme logikk kan brukes både i backtest og live kjøring. Han diskuterer også valg av plattform og koblingen mellom forskningsmiljø og eksekveringsmiljø.</w:t>
      </w:r>
    </w:p>
    <w:p>
      <w:pPr>
        <w:pStyle w:val="Heading2"/>
      </w:pPr>
      <w:r>
        <w:t>Kapittel 2 – The Basics of Mean Reversion</w:t>
      </w:r>
    </w:p>
    <w:p>
      <w:r>
        <w:t>Dette er den statistiske grunnmuren for mean reversion. Chan forklarer hvordan man tester om en serie eller spread faktisk har mean-reverting egenskaper, blant annet med ADF-test, Hurst-eksponent, variance ratio, half-life av mean reversion, cointegration og Johansen-test. Hovedpoenget er at slike tester gir en mer prinsipiell start enn å optimalisere direkte på historiske data.</w:t>
      </w:r>
    </w:p>
    <w:p>
      <w:pPr>
        <w:pStyle w:val="Heading2"/>
      </w:pPr>
      <w:r>
        <w:t>Kapittel 3 – Implementing Mean Reversion Strategies</w:t>
      </w:r>
    </w:p>
    <w:p>
      <w:r>
        <w:t>Her går boka fra diagnose til strategiutforming. Chan sammenligner pris-spreads, log-spreads og ratios som signaler, viser enkle lineære mean-reversion-modeller, bruker Bollinger bands som praktisk inngangs- og utgangsregel, og introduserer Kalman-filter for dynamisk hedge ratio eller beta. Kapitlet viser hvordan en statistisk idé oversettes til en handlingsbar modell.</w:t>
      </w:r>
    </w:p>
    <w:p>
      <w:pPr>
        <w:pStyle w:val="Heading2"/>
      </w:pPr>
      <w:r>
        <w:t>Kapittel 4 – Mean Reversion of Stocks and ETFs</w:t>
      </w:r>
    </w:p>
    <w:p>
      <w:r>
        <w:t>Her anvendes mean reversion på aksjer og ETF-er. Chan diskuterer hvorfor aksjepar ofte er skjørere enn ETF-par, fordi ETF-er typisk har mer stabile økonomiske relasjoner over tid. Han ser også på intradag mean reversion, buy-on-gap-lignende mønstre, modifisert index arbitrage og cross-sectional mean reversion i aksjebasketter.</w:t>
      </w:r>
    </w:p>
    <w:p>
      <w:pPr>
        <w:pStyle w:val="Heading2"/>
      </w:pPr>
      <w:r>
        <w:t>Kapittel 5 – Mean Reversion of Currencies and Futures</w:t>
      </w:r>
    </w:p>
    <w:p>
      <w:r>
        <w:t>Her er Chan mer selektiv: mean reversion i valuta og futures finnes, men ikke overalt. Fokuset ligger på futures calendar spreads, intermarket spreads som VX versus ES, og på å forstå spot returns, roll returns, backwardation og contango som strukturelle drivere. Uten slik termstrukturforståelse er det lett å bygge feil modeller.</w:t>
      </w:r>
    </w:p>
    <w:p>
      <w:pPr>
        <w:pStyle w:val="Heading2"/>
      </w:pPr>
      <w:r>
        <w:t>Kapittel 6 – Interday Momentum Strategies</w:t>
      </w:r>
    </w:p>
    <w:p>
      <w:r>
        <w:t>Etter mean reversion skifter boka til momentum over flere dager. Chan peker på flere årsaker til momentum: vedvarende roll returns i futures, treg diffusjon av ny informasjon, tvungne kjøp og salg fra ulike fondstyper, og markedsmikrostrukturelle effekter. Han dekker både time-series momentum og cross-sectional momentum.</w:t>
      </w:r>
    </w:p>
    <w:p>
      <w:pPr>
        <w:pStyle w:val="Heading2"/>
      </w:pPr>
      <w:r>
        <w:t>Kapittel 7 – Intraday Momentum Strategies</w:t>
      </w:r>
    </w:p>
    <w:p>
      <w:r>
        <w:t>Dette kapitlet handler om hvorfor momentum også kan eksistere på svært korte tidsskalaer. Chan tar opp opening-gap- og breakout-strategier, nyhetsdrevet momentum, effekter fra indeksendringer og leveraged ETF-rebalansering, samt order flow som prediktor for kortsiktige prisbevegelser. Her blir mikrostruktur særlig viktig.</w:t>
      </w:r>
    </w:p>
    <w:p>
      <w:pPr>
        <w:pStyle w:val="Heading2"/>
      </w:pPr>
      <w:r>
        <w:t>Kapittel 8 – Risk Management</w:t>
      </w:r>
    </w:p>
    <w:p>
      <w:r>
        <w:t>Til slutt samler Chan risikostyringen som et eget fagfelt. Han diskuterer Kelly-formelen og hvorfor half-Kelly ofte er mer praktisk, hva man gjør under leverage-begrensninger, bruk av Monte Carlo ved fete haler, CPPI som drawdown-kontroll, og en nyansert bruk av stop-loss. Et viktig poeng er at stop-loss ofte er mer logisk for momentum enn for mean reversion, bortsett fra når strategien rammes av regimeskifte.</w:t>
      </w:r>
    </w:p>
    <w:p>
      <w:pPr>
        <w:pStyle w:val="Heading1"/>
      </w:pPr>
      <w:r>
        <w:t>Helhetsbilde</w:t>
      </w:r>
    </w:p>
    <w:p>
      <w:r>
        <w:t>Bokas struktur er tydelig: først metodisk hygiene, så statistisk forståelse av mean reversion, deretter implementering, så anvendelser på ulike aktivaklasser, videre momentum, og til slutt risikostyring. Dermed fungerer boka mer som en praktisk forsknings- og implementeringsmanual enn som en ren teoribok om trading.</w:t>
      </w:r>
    </w:p>
    <w:p>
      <w:pPr>
        <w:pStyle w:val="Heading1"/>
      </w:pPr>
      <w:r>
        <w:t>Kilder brukt i sammendraget</w:t>
      </w:r>
    </w:p>
    <w:p>
      <w:pPr>
        <w:pStyle w:val="ListBullet"/>
      </w:pPr>
      <w:r>
        <w:t>Google Books: bokomtale og innholdsoversikt for Algorithmic Trading.</w:t>
      </w:r>
    </w:p>
    <w:p>
      <w:pPr>
        <w:pStyle w:val="ListBullet"/>
      </w:pPr>
      <w:r>
        <w:t>Wiley Online Library: offisiell bokside og innholdsfortegnelse.</w:t>
      </w:r>
    </w:p>
    <w:p>
      <w:pPr>
        <w:pStyle w:val="ListBullet"/>
      </w:pPr>
      <w:r>
        <w:t>Wiley-bokomtale og pressemateriale: omtale av temaer som risikostyring, regimeendringer og praktiske eksempler.</w:t>
      </w:r>
    </w:p>
    <w:sectPr w:rsidR="00FC693F" w:rsidRPr="0006063C" w:rsidSect="00034616">
      <w:footerReference w:type="default" r:id="rId9"/>
      <w:pgSz w:w="12240" w:h="15840"/>
      <w:pgMar w:top="1152"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F3764"/>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F37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37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95959"/>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