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10944" w14:textId="77777777" w:rsidR="000142F1" w:rsidRPr="000142F1" w:rsidRDefault="000142F1" w:rsidP="000142F1">
      <w:pPr>
        <w:rPr>
          <w:b/>
          <w:bCs/>
          <w:lang w:val="en-US"/>
        </w:rPr>
      </w:pPr>
      <w:r w:rsidRPr="000142F1">
        <w:rPr>
          <w:b/>
          <w:bCs/>
          <w:lang w:val="en-US"/>
        </w:rPr>
        <w:t xml:space="preserve">Review: Tang &amp; Cheng (2004), </w:t>
      </w:r>
      <w:r w:rsidRPr="000142F1">
        <w:rPr>
          <w:b/>
          <w:bCs/>
          <w:i/>
          <w:iCs/>
          <w:lang w:val="en-US"/>
        </w:rPr>
        <w:t>Quantitative Borehole Acoustic Methods</w:t>
      </w:r>
    </w:p>
    <w:p w14:paraId="4A8D4B45" w14:textId="77777777" w:rsidR="000142F1" w:rsidRPr="000142F1" w:rsidRDefault="000142F1" w:rsidP="000142F1">
      <w:pPr>
        <w:rPr>
          <w:b/>
          <w:bCs/>
          <w:lang w:val="en-US"/>
        </w:rPr>
      </w:pPr>
      <w:r w:rsidRPr="000142F1">
        <w:rPr>
          <w:b/>
          <w:bCs/>
          <w:lang w:val="en-US"/>
        </w:rPr>
        <w:t>Context and contribution</w:t>
      </w:r>
    </w:p>
    <w:p w14:paraId="298D808B" w14:textId="77777777" w:rsidR="000142F1" w:rsidRPr="000142F1" w:rsidRDefault="000142F1" w:rsidP="000142F1">
      <w:pPr>
        <w:rPr>
          <w:lang w:val="en-US"/>
        </w:rPr>
      </w:pPr>
      <w:r w:rsidRPr="000142F1">
        <w:rPr>
          <w:lang w:val="en-US"/>
        </w:rPr>
        <w:t xml:space="preserve">Tang and Cheng's volume is the natural sequel — and the practical complement — to Paillet &amp; Cheng (1991). Where the earlier monograph laid out the </w:t>
      </w:r>
      <w:r w:rsidRPr="000142F1">
        <w:rPr>
          <w:i/>
          <w:iCs/>
          <w:lang w:val="en-US"/>
        </w:rPr>
        <w:t>forward problem</w:t>
      </w:r>
      <w:r w:rsidRPr="000142F1">
        <w:rPr>
          <w:lang w:val="en-US"/>
        </w:rPr>
        <w:t xml:space="preserve"> (why a borehole waveform looks the way it does), this book emphasizes the </w:t>
      </w:r>
      <w:r w:rsidRPr="000142F1">
        <w:rPr>
          <w:i/>
          <w:iCs/>
          <w:lang w:val="en-US"/>
        </w:rPr>
        <w:t>inverse problem</w:t>
      </w:r>
      <w:r w:rsidRPr="000142F1">
        <w:rPr>
          <w:lang w:val="en-US"/>
        </w:rPr>
        <w:t xml:space="preserve">: how to extract quantitatively useful formation properties from real waveform data. It appeared as Volume 24 of Elsevier's </w:t>
      </w:r>
      <w:r w:rsidRPr="000142F1">
        <w:rPr>
          <w:i/>
          <w:iCs/>
          <w:lang w:val="en-US"/>
        </w:rPr>
        <w:t>Handbook of Geophysical Exploration: Seismic Exploration</w:t>
      </w:r>
      <w:r w:rsidRPr="000142F1">
        <w:rPr>
          <w:lang w:val="en-US"/>
        </w:rPr>
        <w:t xml:space="preserve"> series, runs 255 pages, and was written largely from the industry side — Xiao-Ming Tang was at Baker Hughes/Baker Atlas, while Arthur Cheng had moved from MIT's Earth Resources Laboratory into the service-company world. That orientation shows on every page: theory is developed only as far as is needed to support a processing algorithm, and almost every method is closed with field-data examples.Although the book lays out theory and methodology, emphasis is placed on the applications of the developed methods, illustrated with field data examples, and many of the waveform analysis methods described are now widely used in the well logging industry.</w:t>
      </w:r>
    </w:p>
    <w:p w14:paraId="34890C3E" w14:textId="77777777" w:rsidR="000142F1" w:rsidRPr="000142F1" w:rsidRDefault="000142F1" w:rsidP="000142F1">
      <w:r w:rsidRPr="000142F1">
        <w:t xml:space="preserve">The book also reflects two technological shifts of the 1990s that postdate Paillet &amp; Cheng: the maturation of </w:t>
      </w:r>
      <w:r w:rsidRPr="000142F1">
        <w:rPr>
          <w:b/>
          <w:bCs/>
        </w:rPr>
        <w:t>cross-dipole shear-wave anisotropy logging</w:t>
      </w:r>
      <w:r w:rsidRPr="000142F1">
        <w:t xml:space="preserve"> and the emergence of </w:t>
      </w:r>
      <w:r w:rsidRPr="000142F1">
        <w:rPr>
          <w:b/>
          <w:bCs/>
        </w:rPr>
        <w:t>logging-while-drilling (LWD) acoustics</w:t>
      </w:r>
      <w:r w:rsidRPr="000142F1">
        <w:t>, including quadrupole-source LWD tools that overcome the tool-mode contamination problem inherent in monopole and dipole LWD measurements.</w:t>
      </w:r>
    </w:p>
    <w:p w14:paraId="08A785C3" w14:textId="77777777" w:rsidR="000142F1" w:rsidRPr="000142F1" w:rsidRDefault="000142F1" w:rsidP="000142F1">
      <w:pPr>
        <w:rPr>
          <w:b/>
          <w:bCs/>
        </w:rPr>
      </w:pPr>
      <w:r w:rsidRPr="000142F1">
        <w:rPr>
          <w:b/>
          <w:bCs/>
        </w:rPr>
        <w:t>Structure and main ideas</w:t>
      </w:r>
    </w:p>
    <w:p w14:paraId="1DC33826" w14:textId="77777777" w:rsidR="000142F1" w:rsidRPr="000142F1" w:rsidRDefault="000142F1" w:rsidP="000142F1">
      <w:r w:rsidRPr="000142F1">
        <w:t>The book is organized into six chapters of roughly increasing operational specificity.The chapters are: (1) Overview of Acoustic Logging — Applications and Recent Advances; (2) Elastic Wave Propagation in Boreholes; (3) Elastic Wave Velocity and Attenuation Estimation from Array Acoustic Waveform Data; (4) Permeability Estimation — Theory, Methods, and Field Examples; (5) Acoustic Logging in Anisotropic Formations: Theory, Method, and Applications; and (6) Summary, Related Topics, and Road Ahead.</w:t>
      </w:r>
    </w:p>
    <w:p w14:paraId="654DC705" w14:textId="77777777" w:rsidR="000142F1" w:rsidRPr="000142F1" w:rsidRDefault="000142F1" w:rsidP="000142F1">
      <w:r w:rsidRPr="000142F1">
        <w:rPr>
          <w:b/>
          <w:bCs/>
        </w:rPr>
        <w:t>1. Overview.</w:t>
      </w:r>
      <w:r w:rsidRPr="000142F1">
        <w:t xml:space="preserve"> The opening chapter is partly a tour of the discipline and partly a manifesto. It traces the evolution from monopole travel-time logging through multipole (dipole, cross-dipole, quadrupole) waveform logging into the LWD era, and frames four headline applications around which the rest of the book is organized: elastic-wave velocity and attenuation, permeability from Stoneley-wave analysis, shear-wave anisotropy from cross-dipole data, and shear transverse isotropy inferred from Stoneley waves.</w:t>
      </w:r>
    </w:p>
    <w:p w14:paraId="73D8F403" w14:textId="77777777" w:rsidR="000142F1" w:rsidRPr="000142F1" w:rsidRDefault="000142F1" w:rsidP="000142F1">
      <w:r w:rsidRPr="000142F1">
        <w:rPr>
          <w:b/>
          <w:bCs/>
        </w:rPr>
        <w:t>2. Elastic wave propagation in boreholes.</w:t>
      </w:r>
      <w:r w:rsidRPr="000142F1">
        <w:t xml:space="preserve"> This chapter compresses the forward theory of Paillet &amp; Cheng into a single, modernized treatment using a unified source-formulation framework. It covers the standard fluid-filled borehole problem (monopole, </w:t>
      </w:r>
      <w:r w:rsidRPr="000142F1">
        <w:lastRenderedPageBreak/>
        <w:t xml:space="preserve">dipole, quadrupole), but goes further than the 1991 book in three directions: (i) </w:t>
      </w:r>
      <w:r w:rsidRPr="000142F1">
        <w:rPr>
          <w:b/>
          <w:bCs/>
        </w:rPr>
        <w:t>multi-layered radial models</w:t>
      </w:r>
      <w:r w:rsidRPr="000142F1">
        <w:t xml:space="preserve"> for cased holes, mudcake, altered zones, and damaged zones, solved with propagator-matrix and global-matrix methods; (ii) </w:t>
      </w:r>
      <w:r w:rsidRPr="000142F1">
        <w:rPr>
          <w:b/>
          <w:bCs/>
        </w:rPr>
        <w:t>LWD multipole propagation</w:t>
      </w:r>
      <w:r w:rsidRPr="000142F1">
        <w:t xml:space="preserve">, where the steel drill collar inside the borehole supports its own modes that interfere with formation arrivals — a problem the authors show is largely solved by the quadrupole source, whose collar mode is dispersive and well separated from the formation flexural/screw modes; and (iii) </w:t>
      </w:r>
      <w:r w:rsidRPr="000142F1">
        <w:rPr>
          <w:b/>
          <w:bCs/>
        </w:rPr>
        <w:t>viscoelastic attenuation modeling</w:t>
      </w:r>
      <w:r w:rsidRPr="000142F1">
        <w:t xml:space="preserve"> through complex moduli, which sets up the attenuation-inversion methods of Chapter 3.</w:t>
      </w:r>
    </w:p>
    <w:p w14:paraId="65161830" w14:textId="77777777" w:rsidR="000142F1" w:rsidRPr="000142F1" w:rsidRDefault="000142F1" w:rsidP="000142F1">
      <w:r w:rsidRPr="000142F1">
        <w:rPr>
          <w:b/>
          <w:bCs/>
        </w:rPr>
        <w:t>3. Velocity and attenuation from array data.</w:t>
      </w:r>
      <w:r w:rsidRPr="000142F1">
        <w:t xml:space="preserve"> This is a genuinely original contribution to the textbook literature. The chapter develops array-based slowness estimation methods — Slowness-Time-Coherence (semblance), weighted spectral semblance, predictive matrix-pencil, and parametric inversion of dispersion curves — and emphasizes the dispersion correction problem for dipole flexural waves: because the flexural-mode phase velocity equals the formation shear velocity only in the low-frequency limit, naive semblance picking on dispersive arrivals biases the answer. The treatment of </w:t>
      </w:r>
      <w:r w:rsidRPr="000142F1">
        <w:rPr>
          <w:i/>
          <w:iCs/>
        </w:rPr>
        <w:t>attenuation</w:t>
      </w:r>
      <w:r w:rsidRPr="000142F1">
        <w:t xml:space="preserve"> logging (1/Q from amplitude ratios across the array, with corrections for geometric spreading) is one of the book's most quantitative sections and reflects Tang's earlier </w:t>
      </w:r>
      <w:r w:rsidRPr="000142F1">
        <w:rPr>
          <w:i/>
          <w:iCs/>
        </w:rPr>
        <w:t>Geophysics</w:t>
      </w:r>
      <w:r w:rsidRPr="000142F1">
        <w:t xml:space="preserve"> papers on the subject.</w:t>
      </w:r>
    </w:p>
    <w:p w14:paraId="1BAAE872" w14:textId="77777777" w:rsidR="000142F1" w:rsidRPr="000142F1" w:rsidRDefault="000142F1" w:rsidP="000142F1">
      <w:r w:rsidRPr="000142F1">
        <w:rPr>
          <w:b/>
          <w:bCs/>
        </w:rPr>
        <w:t>4. Permeability estimation.</w:t>
      </w:r>
      <w:r w:rsidRPr="000142F1">
        <w:t xml:space="preserve"> Chapter 4 treats Stoneley-wave permeability logging as a mature method rather than a research curiosity. The physical basis is Biot–Rosenbaum theory, but the chapter's emphasis is on practical inversion: a </w:t>
      </w:r>
      <w:r w:rsidRPr="000142F1">
        <w:rPr>
          <w:i/>
          <w:iCs/>
        </w:rPr>
        <w:t>simplified Biot–Rosenbaum model</w:t>
      </w:r>
      <w:r w:rsidRPr="000142F1">
        <w:t xml:space="preserve"> (Tang's "elastic + flow" decomposition) that is fast enough to invert depth by depth, the identification and removal of mudcake and elastic-property contributions to apparent attenuation, and the separation of permeability effects from open-fracture effects (the latter producing characteristic Stoneley reflections that allow individual fractures to be located and assigned an aperture). Multiple field-data sections, including carbonate examples, validate the inversions against core and NMR permeability.</w:t>
      </w:r>
    </w:p>
    <w:p w14:paraId="06A40C53" w14:textId="77777777" w:rsidR="000142F1" w:rsidRPr="000142F1" w:rsidRDefault="000142F1" w:rsidP="000142F1">
      <w:r w:rsidRPr="000142F1">
        <w:rPr>
          <w:b/>
          <w:bCs/>
        </w:rPr>
        <w:t>5. Anisotropic formations.</w:t>
      </w:r>
      <w:r w:rsidRPr="000142F1">
        <w:t xml:space="preserve"> This is the chapter that most clearly fills the gap left by Paillet &amp; Cheng. Cross-dipole logging in azimuthally anisotropic (HTI) media is developed in detail: the four-component (XX, XY, YX, YY) waveform tensor, Alford rotation to find the fast-shear azimuth, and the splitting of the flexural mode into fast and slow modes whose slowness difference quantifies the anisotropy magnitude. The authors give particular attention to </w:t>
      </w:r>
      <w:r w:rsidRPr="000142F1">
        <w:rPr>
          <w:i/>
          <w:iCs/>
        </w:rPr>
        <w:t>distinguishing intrinsic anisotropy</w:t>
      </w:r>
      <w:r w:rsidRPr="000142F1">
        <w:t xml:space="preserve"> (aligned fractures, layered shale fabric) </w:t>
      </w:r>
      <w:r w:rsidRPr="000142F1">
        <w:rPr>
          <w:i/>
          <w:iCs/>
        </w:rPr>
        <w:t>from stress-induced anisotropy</w:t>
      </w:r>
      <w:r w:rsidRPr="000142F1">
        <w:t xml:space="preserve"> — the latter producing a characteristic crossover of the fast and slow flexural dispersion curves that intrinsic anisotropy does not. Vertical (VTI) anisotropy is addressed separately via a Stoneley-wave inversion that recovers the horizontal shear modulus C₆₆, complementing the dipole measurement of C₄₄ to give the Thomsen parameter γ.</w:t>
      </w:r>
    </w:p>
    <w:p w14:paraId="5E797463" w14:textId="77777777" w:rsidR="000142F1" w:rsidRPr="000142F1" w:rsidRDefault="000142F1" w:rsidP="000142F1">
      <w:r w:rsidRPr="000142F1">
        <w:rPr>
          <w:b/>
          <w:bCs/>
        </w:rPr>
        <w:lastRenderedPageBreak/>
        <w:t>6. Summary and road ahead.</w:t>
      </w:r>
      <w:r w:rsidRPr="000142F1">
        <w:t xml:space="preserve"> The closing chapter sketches near-future directions — full-waveform inversion, single-well imaging via reflected modes, sonic-while-drilling in slow formations — many of which have since become standard.</w:t>
      </w:r>
    </w:p>
    <w:p w14:paraId="7472E88E" w14:textId="77777777" w:rsidR="000142F1" w:rsidRPr="000142F1" w:rsidRDefault="000142F1" w:rsidP="000142F1">
      <w:pPr>
        <w:rPr>
          <w:b/>
          <w:bCs/>
        </w:rPr>
      </w:pPr>
      <w:r w:rsidRPr="000142F1">
        <w:rPr>
          <w:b/>
          <w:bCs/>
        </w:rPr>
        <w:t>Significance and limitations</w:t>
      </w:r>
    </w:p>
    <w:p w14:paraId="775093AE" w14:textId="77777777" w:rsidR="000142F1" w:rsidRPr="000142F1" w:rsidRDefault="000142F1" w:rsidP="000142F1">
      <w:r w:rsidRPr="000142F1">
        <w:t xml:space="preserve">The book's strength is that it is a </w:t>
      </w:r>
      <w:r w:rsidRPr="000142F1">
        <w:rPr>
          <w:i/>
          <w:iCs/>
        </w:rPr>
        <w:t>processing</w:t>
      </w:r>
      <w:r w:rsidRPr="000142F1">
        <w:t xml:space="preserve"> reference as much as a physics reference: a working petrophysicist can read it as a recipe book for cross-dipole and Stoneley analysis, while a geophysicist gets the theoretical justification for each step in the same chapter. It is also the place where Tang's body of work — much of it scattered across </w:t>
      </w:r>
      <w:r w:rsidRPr="000142F1">
        <w:rPr>
          <w:i/>
          <w:iCs/>
        </w:rPr>
        <w:t>Geophysics</w:t>
      </w:r>
      <w:r w:rsidRPr="000142F1">
        <w:t xml:space="preserve">, </w:t>
      </w:r>
      <w:r w:rsidRPr="000142F1">
        <w:rPr>
          <w:i/>
          <w:iCs/>
        </w:rPr>
        <w:t>Geophysical Prospecting</w:t>
      </w:r>
      <w:r w:rsidRPr="000142F1">
        <w:t>, and SPWLA proceedings during the 1990s — is consolidated into a single notation.</w:t>
      </w:r>
    </w:p>
    <w:p w14:paraId="693E8367" w14:textId="77777777" w:rsidR="000142F1" w:rsidRPr="000142F1" w:rsidRDefault="000142F1" w:rsidP="000142F1">
      <w:r w:rsidRPr="000142F1">
        <w:t xml:space="preserve">Limitations are mostly those of timing. Single-well acoustic </w:t>
      </w:r>
      <w:r w:rsidRPr="000142F1">
        <w:rPr>
          <w:i/>
          <w:iCs/>
        </w:rPr>
        <w:t>imaging</w:t>
      </w:r>
      <w:r w:rsidRPr="000142F1">
        <w:t xml:space="preserve"> (using reflected and refracted modes to map structure several meters from the borehole) and full-waveform inversion of sonic data are mentioned in the closing chapter but are now whole subfields in their own right; readers needing those topics should consult the more recent literature, including Tang's own subsequent papers. The book also predates the routine use of broadband cross-dipole tools and the deep-reading sonic-imaging tools introduced after about 2010. As a quantitative bridge between the 1991 mode theory and modern logging practice, however, it remains the standard reference.</w:t>
      </w:r>
    </w:p>
    <w:p w14:paraId="1E43F6BD" w14:textId="77777777" w:rsidR="000142F1" w:rsidRPr="000142F1" w:rsidRDefault="000142F1" w:rsidP="000142F1">
      <w:pPr>
        <w:rPr>
          <w:b/>
          <w:bCs/>
        </w:rPr>
      </w:pPr>
      <w:r w:rsidRPr="000142F1">
        <w:rPr>
          <w:b/>
          <w:bCs/>
        </w:rPr>
        <w:t>References</w:t>
      </w:r>
    </w:p>
    <w:p w14:paraId="305D6EDA" w14:textId="77777777" w:rsidR="000142F1" w:rsidRPr="000142F1" w:rsidRDefault="000142F1" w:rsidP="000142F1">
      <w:pPr>
        <w:numPr>
          <w:ilvl w:val="0"/>
          <w:numId w:val="1"/>
        </w:numPr>
      </w:pPr>
      <w:r w:rsidRPr="000142F1">
        <w:t xml:space="preserve">Tang, X. M., &amp; Cheng, C. H. A. (2004). </w:t>
      </w:r>
      <w:r w:rsidRPr="000142F1">
        <w:rPr>
          <w:i/>
          <w:iCs/>
        </w:rPr>
        <w:t>Quantitative Borehole Acoustic Methods</w:t>
      </w:r>
      <w:r w:rsidRPr="000142F1">
        <w:t>. Handbook of Geophysical Exploration: Seismic Exploration, Vol. 24. Amsterdam: Elsevier. ISBN 0-08-044051-7. https://shop.elsevier.com/books/quantitative-borehole-acoustic-methods/tang/978-0-08-044051-4</w:t>
      </w:r>
    </w:p>
    <w:p w14:paraId="0B7271E6" w14:textId="77777777" w:rsidR="000142F1" w:rsidRPr="000142F1" w:rsidRDefault="000142F1" w:rsidP="000142F1">
      <w:pPr>
        <w:numPr>
          <w:ilvl w:val="0"/>
          <w:numId w:val="1"/>
        </w:numPr>
      </w:pPr>
      <w:r w:rsidRPr="000142F1">
        <w:t xml:space="preserve">Paillet, F. L., &amp; Cheng, C. H. (1991). </w:t>
      </w:r>
      <w:r w:rsidRPr="000142F1">
        <w:rPr>
          <w:i/>
          <w:iCs/>
        </w:rPr>
        <w:t>Acoustic Waves in Boreholes</w:t>
      </w:r>
      <w:r w:rsidRPr="000142F1">
        <w:t>. Boca Raton, FL: CRC Press. (The forward-problem companion volume.)</w:t>
      </w:r>
    </w:p>
    <w:p w14:paraId="408829B8" w14:textId="77777777" w:rsidR="000142F1" w:rsidRPr="000142F1" w:rsidRDefault="000142F1" w:rsidP="000142F1">
      <w:pPr>
        <w:numPr>
          <w:ilvl w:val="0"/>
          <w:numId w:val="1"/>
        </w:numPr>
      </w:pPr>
      <w:r w:rsidRPr="000142F1">
        <w:t xml:space="preserve">Tang, X. M., Cheng, C. H., &amp; Toksöz, M. N. (1991). Dynamic permeability and borehole Stoneley waves: A simplified Biot–Rosenbaum model. </w:t>
      </w:r>
      <w:r w:rsidRPr="000142F1">
        <w:rPr>
          <w:i/>
          <w:iCs/>
        </w:rPr>
        <w:t>Journal of the Acoustical Society of America</w:t>
      </w:r>
      <w:r w:rsidRPr="000142F1">
        <w:t>, 90(3), 1632–1646. (Underlies the inversion in Ch. 4.)</w:t>
      </w:r>
    </w:p>
    <w:p w14:paraId="42B55548" w14:textId="77777777" w:rsidR="000142F1" w:rsidRPr="000142F1" w:rsidRDefault="000142F1" w:rsidP="000142F1">
      <w:pPr>
        <w:numPr>
          <w:ilvl w:val="0"/>
          <w:numId w:val="1"/>
        </w:numPr>
      </w:pPr>
      <w:r w:rsidRPr="000142F1">
        <w:t xml:space="preserve">Sinha, B. K., &amp; Kostek, S. (1996). Stress-induced azimuthal anisotropy in borehole flexural waves. </w:t>
      </w:r>
      <w:r w:rsidRPr="000142F1">
        <w:rPr>
          <w:i/>
          <w:iCs/>
        </w:rPr>
        <w:t>Geophysics</w:t>
      </w:r>
      <w:r w:rsidRPr="000142F1">
        <w:t>, 61(6), 1899–1907. (Theoretical basis for the stress-vs-intrinsic anisotropy discrimination in Ch. 5.)</w:t>
      </w:r>
    </w:p>
    <w:p w14:paraId="4195720A" w14:textId="77777777" w:rsidR="000142F1" w:rsidRPr="000142F1" w:rsidRDefault="000142F1" w:rsidP="000142F1">
      <w:pPr>
        <w:numPr>
          <w:ilvl w:val="0"/>
          <w:numId w:val="1"/>
        </w:numPr>
      </w:pPr>
      <w:r w:rsidRPr="000142F1">
        <w:t xml:space="preserve">Alford, R. M. (1986). Shear data in the presence of azimuthal anisotropy. </w:t>
      </w:r>
      <w:r w:rsidRPr="000142F1">
        <w:rPr>
          <w:i/>
          <w:iCs/>
        </w:rPr>
        <w:t>SEG Technical Program Expanded Abstracts</w:t>
      </w:r>
      <w:r w:rsidRPr="000142F1">
        <w:t>, 476–479. (Original "Alford rotation" used in cross-dipole processing.)</w:t>
      </w:r>
    </w:p>
    <w:p w14:paraId="1D44BD08" w14:textId="77777777" w:rsidR="000142F1" w:rsidRPr="000142F1" w:rsidRDefault="000142F1" w:rsidP="000142F1">
      <w:pPr>
        <w:numPr>
          <w:ilvl w:val="0"/>
          <w:numId w:val="1"/>
        </w:numPr>
      </w:pPr>
      <w:r w:rsidRPr="000142F1">
        <w:lastRenderedPageBreak/>
        <w:t xml:space="preserve">Biot, M. A. (1956). Theory of propagation of elastic waves in a fluid-saturated porous solid, I &amp; II. </w:t>
      </w:r>
      <w:r w:rsidRPr="000142F1">
        <w:rPr>
          <w:i/>
          <w:iCs/>
        </w:rPr>
        <w:t>Journal of the Acoustical Society of America</w:t>
      </w:r>
      <w:r w:rsidRPr="000142F1">
        <w:t>, 28, 168–191. (Poroelastic foundation for Ch. 4.)</w:t>
      </w:r>
    </w:p>
    <w:p w14:paraId="711495C0" w14:textId="77777777" w:rsidR="000142F1" w:rsidRPr="000142F1" w:rsidRDefault="000142F1" w:rsidP="000142F1">
      <w:pPr>
        <w:numPr>
          <w:ilvl w:val="0"/>
          <w:numId w:val="1"/>
        </w:numPr>
      </w:pPr>
      <w:r w:rsidRPr="000142F1">
        <w:t xml:space="preserve">Rosenbaum, J. H. (1974). Synthetic microseismograms: Logging in porous formations. </w:t>
      </w:r>
      <w:r w:rsidRPr="000142F1">
        <w:rPr>
          <w:i/>
          <w:iCs/>
        </w:rPr>
        <w:t>Geophysics</w:t>
      </w:r>
      <w:r w:rsidRPr="000142F1">
        <w:t>, 39, 14–32.</w:t>
      </w:r>
    </w:p>
    <w:p w14:paraId="31FFF3AE" w14:textId="77777777" w:rsidR="00D63F29" w:rsidRDefault="00D63F29"/>
    <w:sectPr w:rsidR="00D63F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82568"/>
    <w:multiLevelType w:val="multilevel"/>
    <w:tmpl w:val="64A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992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1F7"/>
    <w:rsid w:val="000142F1"/>
    <w:rsid w:val="00320F57"/>
    <w:rsid w:val="003341F7"/>
    <w:rsid w:val="006824BB"/>
    <w:rsid w:val="00BB02F7"/>
    <w:rsid w:val="00D63F2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18FBFD-799C-40CE-9BF3-5FF2C890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34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334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3341F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341F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341F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341F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341F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341F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341F7"/>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3341F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3341F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3341F7"/>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3341F7"/>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3341F7"/>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3341F7"/>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3341F7"/>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3341F7"/>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3341F7"/>
    <w:rPr>
      <w:rFonts w:eastAsiaTheme="majorEastAsia" w:cstheme="majorBidi"/>
      <w:color w:val="272727" w:themeColor="text1" w:themeTint="D8"/>
    </w:rPr>
  </w:style>
  <w:style w:type="paragraph" w:styleId="Tittel">
    <w:name w:val="Title"/>
    <w:basedOn w:val="Normal"/>
    <w:next w:val="Normal"/>
    <w:link w:val="TittelTegn"/>
    <w:uiPriority w:val="10"/>
    <w:qFormat/>
    <w:rsid w:val="00334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3341F7"/>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3341F7"/>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3341F7"/>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3341F7"/>
    <w:pPr>
      <w:spacing w:before="160"/>
      <w:jc w:val="center"/>
    </w:pPr>
    <w:rPr>
      <w:i/>
      <w:iCs/>
      <w:color w:val="404040" w:themeColor="text1" w:themeTint="BF"/>
    </w:rPr>
  </w:style>
  <w:style w:type="character" w:customStyle="1" w:styleId="SitatTegn">
    <w:name w:val="Sitat Tegn"/>
    <w:basedOn w:val="Standardskriftforavsnitt"/>
    <w:link w:val="Sitat"/>
    <w:uiPriority w:val="29"/>
    <w:rsid w:val="003341F7"/>
    <w:rPr>
      <w:i/>
      <w:iCs/>
      <w:color w:val="404040" w:themeColor="text1" w:themeTint="BF"/>
    </w:rPr>
  </w:style>
  <w:style w:type="paragraph" w:styleId="Listeavsnitt">
    <w:name w:val="List Paragraph"/>
    <w:basedOn w:val="Normal"/>
    <w:uiPriority w:val="34"/>
    <w:qFormat/>
    <w:rsid w:val="003341F7"/>
    <w:pPr>
      <w:ind w:left="720"/>
      <w:contextualSpacing/>
    </w:pPr>
  </w:style>
  <w:style w:type="character" w:styleId="Sterkutheving">
    <w:name w:val="Intense Emphasis"/>
    <w:basedOn w:val="Standardskriftforavsnitt"/>
    <w:uiPriority w:val="21"/>
    <w:qFormat/>
    <w:rsid w:val="003341F7"/>
    <w:rPr>
      <w:i/>
      <w:iCs/>
      <w:color w:val="0F4761" w:themeColor="accent1" w:themeShade="BF"/>
    </w:rPr>
  </w:style>
  <w:style w:type="paragraph" w:styleId="Sterktsitat">
    <w:name w:val="Intense Quote"/>
    <w:basedOn w:val="Normal"/>
    <w:next w:val="Normal"/>
    <w:link w:val="SterktsitatTegn"/>
    <w:uiPriority w:val="30"/>
    <w:qFormat/>
    <w:rsid w:val="00334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3341F7"/>
    <w:rPr>
      <w:i/>
      <w:iCs/>
      <w:color w:val="0F4761" w:themeColor="accent1" w:themeShade="BF"/>
    </w:rPr>
  </w:style>
  <w:style w:type="character" w:styleId="Sterkreferanse">
    <w:name w:val="Intense Reference"/>
    <w:basedOn w:val="Standardskriftforavsnitt"/>
    <w:uiPriority w:val="32"/>
    <w:qFormat/>
    <w:rsid w:val="003341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1385</Words>
  <Characters>7342</Characters>
  <Application>Microsoft Office Word</Application>
  <DocSecurity>0</DocSecurity>
  <Lines>61</Lines>
  <Paragraphs>17</Paragraphs>
  <ScaleCrop>false</ScaleCrop>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 Pettersen</dc:creator>
  <cp:keywords/>
  <dc:description/>
  <cp:lastModifiedBy>Inge Pettersen</cp:lastModifiedBy>
  <cp:revision>2</cp:revision>
  <dcterms:created xsi:type="dcterms:W3CDTF">2026-04-25T12:59:00Z</dcterms:created>
  <dcterms:modified xsi:type="dcterms:W3CDTF">2026-04-25T13:00:00Z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7c985155-40e7-439f-9d0e-72f359e0f11f</vt:lpwstr>
  </property>
</Properties>
</file>