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6659" w14:textId="77777777" w:rsidR="00697704" w:rsidRPr="00697704" w:rsidRDefault="00697704" w:rsidP="00697704">
      <w:pPr>
        <w:rPr>
          <w:b/>
          <w:bCs/>
          <w:lang w:val="en-US"/>
        </w:rPr>
      </w:pPr>
      <w:r w:rsidRPr="00697704">
        <w:rPr>
          <w:b/>
          <w:bCs/>
          <w:lang w:val="en-US"/>
        </w:rPr>
        <w:t xml:space="preserve">Review: A coordinated set of three papers on </w:t>
      </w:r>
      <w:r w:rsidRPr="00697704">
        <w:rPr>
          <w:b/>
          <w:bCs/>
        </w:rPr>
        <w:t>ε</w:t>
      </w:r>
      <w:r w:rsidRPr="00697704">
        <w:rPr>
          <w:b/>
          <w:bCs/>
          <w:lang w:val="en-US"/>
        </w:rPr>
        <w:t xml:space="preserve"> / </w:t>
      </w:r>
      <w:r w:rsidRPr="00697704">
        <w:rPr>
          <w:b/>
          <w:bCs/>
        </w:rPr>
        <w:t>δ</w:t>
      </w:r>
      <w:r w:rsidRPr="00697704">
        <w:rPr>
          <w:b/>
          <w:bCs/>
          <w:lang w:val="en-US"/>
        </w:rPr>
        <w:t xml:space="preserve"> estimation from walkaway VSP</w:t>
      </w:r>
    </w:p>
    <w:p w14:paraId="66F95D57" w14:textId="726BBAC9" w:rsidR="00697704" w:rsidRPr="00697704" w:rsidRDefault="00697704" w:rsidP="00697704">
      <w:pPr>
        <w:rPr>
          <w:lang w:val="en-US"/>
        </w:rPr>
      </w:pPr>
      <w:r>
        <w:rPr>
          <w:lang w:val="en-US"/>
        </w:rPr>
        <w:t>T</w:t>
      </w:r>
      <w:r w:rsidRPr="00697704">
        <w:rPr>
          <w:lang w:val="en-US"/>
        </w:rPr>
        <w:t xml:space="preserve">hese are three journal articles, closely linked and best reviewed together, because the two 2007 papers by Grechka, Mateeva, and co-authors are a matched pair (the </w:t>
      </w:r>
      <w:r w:rsidRPr="00697704">
        <w:rPr>
          <w:i/>
          <w:iCs/>
          <w:lang w:val="en-US"/>
        </w:rPr>
        <w:t>Geophysics</w:t>
      </w:r>
      <w:r w:rsidRPr="00697704">
        <w:rPr>
          <w:lang w:val="en-US"/>
        </w:rPr>
        <w:t xml:space="preserve"> paper develops the theory and a North Sea sub-salt case study; the </w:t>
      </w:r>
      <w:r w:rsidRPr="00697704">
        <w:rPr>
          <w:i/>
          <w:iCs/>
          <w:lang w:val="en-US"/>
        </w:rPr>
        <w:t>Leading Edge</w:t>
      </w:r>
      <w:r w:rsidRPr="00697704">
        <w:rPr>
          <w:lang w:val="en-US"/>
        </w:rPr>
        <w:t xml:space="preserve"> paper is the practitioner-oriented summary of the same work and a Gulf of Mexico application), and the 2014 Liu et al. paper develops an independent, </w:t>
      </w:r>
      <w:proofErr w:type="spellStart"/>
      <w:r w:rsidRPr="00697704">
        <w:rPr>
          <w:lang w:val="en-US"/>
        </w:rPr>
        <w:t>traveltime</w:t>
      </w:r>
      <w:proofErr w:type="spellEnd"/>
      <w:r w:rsidRPr="00697704">
        <w:rPr>
          <w:lang w:val="en-US"/>
        </w:rPr>
        <w:t xml:space="preserve">-based alternative using the same data type. Together they cover the two technique families that dominate the modern walkaway-VSP anisotropy literature: </w:t>
      </w:r>
      <w:r w:rsidRPr="00697704">
        <w:rPr>
          <w:b/>
          <w:bCs/>
          <w:lang w:val="en-US"/>
        </w:rPr>
        <w:t>slowness–polarization</w:t>
      </w:r>
      <w:r w:rsidRPr="00697704">
        <w:rPr>
          <w:lang w:val="en-US"/>
        </w:rPr>
        <w:t xml:space="preserve"> inversion and </w:t>
      </w:r>
      <w:r w:rsidRPr="00697704">
        <w:rPr>
          <w:b/>
          <w:bCs/>
          <w:lang w:val="en-US"/>
        </w:rPr>
        <w:t xml:space="preserve">first-break </w:t>
      </w:r>
      <w:proofErr w:type="spellStart"/>
      <w:r w:rsidRPr="00697704">
        <w:rPr>
          <w:b/>
          <w:bCs/>
          <w:lang w:val="en-US"/>
        </w:rPr>
        <w:t>traveltime</w:t>
      </w:r>
      <w:proofErr w:type="spellEnd"/>
      <w:r w:rsidRPr="00697704">
        <w:rPr>
          <w:lang w:val="en-US"/>
        </w:rPr>
        <w:t xml:space="preserve"> inversion.</w:t>
      </w:r>
    </w:p>
    <w:p w14:paraId="077EB9EF" w14:textId="77777777" w:rsidR="00697704" w:rsidRPr="00697704" w:rsidRDefault="00697704" w:rsidP="00697704">
      <w:pPr>
        <w:rPr>
          <w:b/>
          <w:bCs/>
          <w:lang w:val="en-US"/>
        </w:rPr>
      </w:pPr>
      <w:r w:rsidRPr="00697704">
        <w:rPr>
          <w:b/>
          <w:bCs/>
          <w:lang w:val="en-US"/>
        </w:rPr>
        <w:t xml:space="preserve">Shared </w:t>
      </w:r>
      <w:proofErr w:type="gramStart"/>
      <w:r w:rsidRPr="00697704">
        <w:rPr>
          <w:b/>
          <w:bCs/>
          <w:lang w:val="en-US"/>
        </w:rPr>
        <w:t>problem</w:t>
      </w:r>
      <w:proofErr w:type="gramEnd"/>
      <w:r w:rsidRPr="00697704">
        <w:rPr>
          <w:b/>
          <w:bCs/>
          <w:lang w:val="en-US"/>
        </w:rPr>
        <w:t xml:space="preserve"> and shared rationale</w:t>
      </w:r>
    </w:p>
    <w:p w14:paraId="23AFCBCF" w14:textId="77777777" w:rsidR="00697704" w:rsidRPr="00697704" w:rsidRDefault="00697704" w:rsidP="00697704">
      <w:pPr>
        <w:rPr>
          <w:lang w:val="en-US"/>
        </w:rPr>
      </w:pPr>
      <w:r w:rsidRPr="00697704">
        <w:rPr>
          <w:lang w:val="en-US"/>
        </w:rPr>
        <w:t xml:space="preserve">All three papers attack the same problem: recover </w:t>
      </w:r>
      <w:r w:rsidRPr="00697704">
        <w:rPr>
          <w:i/>
          <w:iCs/>
          <w:lang w:val="en-US"/>
        </w:rPr>
        <w:t>local</w:t>
      </w:r>
      <w:r w:rsidRPr="00697704">
        <w:rPr>
          <w:lang w:val="en-US"/>
        </w:rPr>
        <w:t xml:space="preserve"> (interval-by-interval) Thomsen </w:t>
      </w:r>
      <w:r w:rsidRPr="00697704">
        <w:t>ε</w:t>
      </w:r>
      <w:r w:rsidRPr="00697704">
        <w:rPr>
          <w:lang w:val="en-US"/>
        </w:rPr>
        <w:t xml:space="preserve"> and </w:t>
      </w:r>
      <w:r w:rsidRPr="00697704">
        <w:t>δ</w:t>
      </w:r>
      <w:r w:rsidRPr="00697704">
        <w:rPr>
          <w:lang w:val="en-US"/>
        </w:rPr>
        <w:t xml:space="preserve"> — and ideally the full VTI parameter set (Vp0, Vs0, </w:t>
      </w:r>
      <w:r w:rsidRPr="00697704">
        <w:t>ε</w:t>
      </w:r>
      <w:r w:rsidRPr="00697704">
        <w:rPr>
          <w:lang w:val="en-US"/>
        </w:rPr>
        <w:t xml:space="preserve">, </w:t>
      </w:r>
      <w:r w:rsidRPr="00697704">
        <w:t>δ</w:t>
      </w:r>
      <w:r w:rsidRPr="00697704">
        <w:rPr>
          <w:lang w:val="en-US"/>
        </w:rPr>
        <w:t xml:space="preserve">) or its orthorhombic generalization — from a walkaway VSP. The motivation is identical and is one of the most-repeated arguments in the modern anisotropy literature: VSP first-arrival </w:t>
      </w:r>
      <w:proofErr w:type="spellStart"/>
      <w:r w:rsidRPr="00697704">
        <w:rPr>
          <w:lang w:val="en-US"/>
        </w:rPr>
        <w:t>traveltimes</w:t>
      </w:r>
      <w:proofErr w:type="spellEnd"/>
      <w:r w:rsidRPr="00697704">
        <w:rPr>
          <w:lang w:val="en-US"/>
        </w:rPr>
        <w:t xml:space="preserve"> can be picked with substantially higher accuracy than surface-seismic reflection moveouts, the source–receiver geometry samples a wide range of phase angles when a vertical receiver array is paired with a long surface walkaway line, and the recorded wavefield is a </w:t>
      </w:r>
      <w:r w:rsidRPr="00697704">
        <w:rPr>
          <w:i/>
          <w:iCs/>
          <w:lang w:val="en-US"/>
        </w:rPr>
        <w:t>transmitted</w:t>
      </w:r>
      <w:r w:rsidRPr="00697704">
        <w:rPr>
          <w:lang w:val="en-US"/>
        </w:rPr>
        <w:t xml:space="preserve"> one (only one leg through the unknown medium) rather than a reflected one (two legs and an unknown reflector geometry). The question is what to do with the resulting traces.</w:t>
      </w:r>
    </w:p>
    <w:p w14:paraId="2A2A90B4" w14:textId="77777777" w:rsidR="00697704" w:rsidRPr="00697704" w:rsidRDefault="00697704" w:rsidP="00697704">
      <w:pPr>
        <w:rPr>
          <w:b/>
          <w:bCs/>
          <w:lang w:val="en-US"/>
        </w:rPr>
      </w:pPr>
      <w:proofErr w:type="spellStart"/>
      <w:r w:rsidRPr="00697704">
        <w:rPr>
          <w:b/>
          <w:bCs/>
          <w:lang w:val="en-US"/>
        </w:rPr>
        <w:t>Grechka</w:t>
      </w:r>
      <w:proofErr w:type="spellEnd"/>
      <w:r w:rsidRPr="00697704">
        <w:rPr>
          <w:b/>
          <w:bCs/>
          <w:lang w:val="en-US"/>
        </w:rPr>
        <w:t xml:space="preserve"> &amp; Mateeva (2007), </w:t>
      </w:r>
      <w:r w:rsidRPr="00697704">
        <w:rPr>
          <w:b/>
          <w:bCs/>
          <w:i/>
          <w:iCs/>
          <w:lang w:val="en-US"/>
        </w:rPr>
        <w:t>Geophysics</w:t>
      </w:r>
      <w:r w:rsidRPr="00697704">
        <w:rPr>
          <w:b/>
          <w:bCs/>
          <w:lang w:val="en-US"/>
        </w:rPr>
        <w:t xml:space="preserve"> 72(4): the slowness–polarization method</w:t>
      </w:r>
    </w:p>
    <w:p w14:paraId="3DFE0E53" w14:textId="77777777" w:rsidR="00697704" w:rsidRPr="00697704" w:rsidRDefault="00697704" w:rsidP="00697704">
      <w:pPr>
        <w:rPr>
          <w:lang w:val="en-US"/>
        </w:rPr>
      </w:pPr>
      <w:r w:rsidRPr="00697704">
        <w:rPr>
          <w:lang w:val="en-US"/>
        </w:rPr>
        <w:t xml:space="preserve">The </w:t>
      </w:r>
      <w:proofErr w:type="spellStart"/>
      <w:r w:rsidRPr="00697704">
        <w:rPr>
          <w:lang w:val="en-US"/>
        </w:rPr>
        <w:t>Grechka</w:t>
      </w:r>
      <w:proofErr w:type="spellEnd"/>
      <w:r w:rsidRPr="00697704">
        <w:rPr>
          <w:lang w:val="en-US"/>
        </w:rPr>
        <w:t xml:space="preserve">–Mateeva paper is the more mathematically substantial of the three and has become the standard reference for VSP anisotropy inversion. Its central idea is to use </w:t>
      </w:r>
      <w:r w:rsidRPr="00697704">
        <w:rPr>
          <w:i/>
          <w:iCs/>
          <w:lang w:val="en-US"/>
        </w:rPr>
        <w:t>only</w:t>
      </w:r>
      <w:r w:rsidRPr="00697704">
        <w:rPr>
          <w:lang w:val="en-US"/>
        </w:rPr>
        <w:t xml:space="preserve"> first-arriving P-waves and to invert the joint measurement of two quantities at every receiver:</w:t>
      </w:r>
    </w:p>
    <w:p w14:paraId="56786430" w14:textId="77777777" w:rsidR="00697704" w:rsidRPr="00697704" w:rsidRDefault="00697704" w:rsidP="00697704">
      <w:pPr>
        <w:numPr>
          <w:ilvl w:val="0"/>
          <w:numId w:val="1"/>
        </w:numPr>
        <w:rPr>
          <w:lang w:val="en-US"/>
        </w:rPr>
      </w:pPr>
      <w:r w:rsidRPr="00697704">
        <w:rPr>
          <w:lang w:val="en-US"/>
        </w:rPr>
        <w:t xml:space="preserve">the </w:t>
      </w:r>
      <w:r w:rsidRPr="00697704">
        <w:rPr>
          <w:b/>
          <w:bCs/>
          <w:lang w:val="en-US"/>
        </w:rPr>
        <w:t>vertical slowness</w:t>
      </w:r>
      <w:r w:rsidRPr="00697704">
        <w:rPr>
          <w:lang w:val="en-US"/>
        </w:rPr>
        <w:t xml:space="preserve"> q, obtained from the time difference between adjacent receivers in the array (essentially the inverse of vertical apparent velocity), and</w:t>
      </w:r>
    </w:p>
    <w:p w14:paraId="63A85DB4" w14:textId="77777777" w:rsidR="00697704" w:rsidRPr="00697704" w:rsidRDefault="00697704" w:rsidP="00697704">
      <w:pPr>
        <w:numPr>
          <w:ilvl w:val="0"/>
          <w:numId w:val="1"/>
        </w:numPr>
        <w:rPr>
          <w:lang w:val="en-US"/>
        </w:rPr>
      </w:pPr>
      <w:r w:rsidRPr="00697704">
        <w:rPr>
          <w:lang w:val="en-US"/>
        </w:rPr>
        <w:t xml:space="preserve">the </w:t>
      </w:r>
      <w:r w:rsidRPr="00697704">
        <w:rPr>
          <w:b/>
          <w:bCs/>
          <w:lang w:val="en-US"/>
        </w:rPr>
        <w:t>P-wave polarization angle</w:t>
      </w:r>
      <w:r w:rsidRPr="00697704">
        <w:rPr>
          <w:lang w:val="en-US"/>
        </w:rPr>
        <w:t xml:space="preserve"> </w:t>
      </w:r>
      <w:r w:rsidRPr="00697704">
        <w:t>ψ</w:t>
      </w:r>
      <w:r w:rsidRPr="00697704">
        <w:rPr>
          <w:lang w:val="en-US"/>
        </w:rPr>
        <w:t xml:space="preserve">, obtained by 3-component </w:t>
      </w:r>
      <w:proofErr w:type="spellStart"/>
      <w:r w:rsidRPr="00697704">
        <w:rPr>
          <w:lang w:val="en-US"/>
        </w:rPr>
        <w:t>hodogram</w:t>
      </w:r>
      <w:proofErr w:type="spellEnd"/>
      <w:r w:rsidRPr="00697704">
        <w:rPr>
          <w:lang w:val="en-US"/>
        </w:rPr>
        <w:t xml:space="preserve"> analysis after appropriate processing.</w:t>
      </w:r>
    </w:p>
    <w:p w14:paraId="4D1F9B2E" w14:textId="77777777" w:rsidR="00697704" w:rsidRPr="00697704" w:rsidRDefault="00697704" w:rsidP="00697704">
      <w:pPr>
        <w:rPr>
          <w:lang w:val="en-US"/>
        </w:rPr>
      </w:pPr>
      <w:r w:rsidRPr="00697704">
        <w:rPr>
          <w:lang w:val="en-US"/>
        </w:rPr>
        <w:t>For a VTI medium with the symmetry axis along the well, an explicit relation q = q(</w:t>
      </w:r>
      <w:r w:rsidRPr="00697704">
        <w:t>ψ</w:t>
      </w:r>
      <w:r w:rsidRPr="00697704">
        <w:rPr>
          <w:lang w:val="en-US"/>
        </w:rPr>
        <w:t>) can be derived from the Christoffel equation; in the weak-anisotropy approximation it depends only on a small number of medium parameters, so plotting (</w:t>
      </w:r>
      <w:r w:rsidRPr="00697704">
        <w:t>ψ</w:t>
      </w:r>
      <w:r w:rsidRPr="00697704">
        <w:rPr>
          <w:lang w:val="en-US"/>
        </w:rPr>
        <w:t>, q) data points across all source positions traces out a curve whose shape is fitted for the local VTI parameters. The method generalizes to wide-azimuth (2D walkaway plus rotation) acquisition for orthorhombic media, where two perpendicular walkaway lines recover up to seven of the Tsvankin-style orthorhombic parameters as later confirmed by Abedi et al. (2019) at South Pars.</w:t>
      </w:r>
    </w:p>
    <w:p w14:paraId="509116EA" w14:textId="77777777" w:rsidR="00697704" w:rsidRPr="00697704" w:rsidRDefault="00697704" w:rsidP="00697704">
      <w:pPr>
        <w:rPr>
          <w:lang w:val="en-US"/>
        </w:rPr>
      </w:pPr>
      <w:r w:rsidRPr="00697704">
        <w:rPr>
          <w:lang w:val="en-US"/>
        </w:rPr>
        <w:lastRenderedPageBreak/>
        <w:t xml:space="preserve">Three properties of the method are emphasized and have made it durable. First, because it uses only P-waves, it does not require the often-poor shear-wave first arrivals that defeat earlier slowness methods. Second, it is </w:t>
      </w:r>
      <w:r w:rsidRPr="00697704">
        <w:rPr>
          <w:i/>
          <w:iCs/>
          <w:lang w:val="en-US"/>
        </w:rPr>
        <w:t>local</w:t>
      </w:r>
      <w:r w:rsidRPr="00697704">
        <w:rPr>
          <w:lang w:val="en-US"/>
        </w:rPr>
        <w:t xml:space="preserve">: the inversion at each receiver depth is independent of the velocity model in the overburden, so 3-D heterogeneity above the receiver array does not contaminate the </w:t>
      </w:r>
      <w:proofErr w:type="spellStart"/>
      <w:r w:rsidRPr="00697704">
        <w:rPr>
          <w:lang w:val="en-US"/>
        </w:rPr>
        <w:t>result.Grechka</w:t>
      </w:r>
      <w:proofErr w:type="spellEnd"/>
      <w:r w:rsidRPr="00697704">
        <w:rPr>
          <w:lang w:val="en-US"/>
        </w:rPr>
        <w:t xml:space="preserve"> and Mateeva proposed a method that uses only the first arriving P-waves; as no shear-wave information needs to be used, their method works in the presence of 3D velocity variations in the overburden and can be applied to wide-azimuth VSP data to estimate azimuthal anisotropy. Third, the inversion is well-conditioned only if polarization angles are estimated with high accuracy — the method's Achilles' heel, and the reason much of the subsequent literature (e.g., the Wysin-1 case study and Abedi et al.) focuses on the processing chain that produces the </w:t>
      </w:r>
      <w:r w:rsidRPr="00697704">
        <w:t>ψ</w:t>
      </w:r>
      <w:r w:rsidRPr="00697704">
        <w:rPr>
          <w:lang w:val="en-US"/>
        </w:rPr>
        <w:t xml:space="preserve"> </w:t>
      </w:r>
      <w:proofErr w:type="spellStart"/>
      <w:r w:rsidRPr="00697704">
        <w:rPr>
          <w:lang w:val="en-US"/>
        </w:rPr>
        <w:t>measurement.Accurate</w:t>
      </w:r>
      <w:proofErr w:type="spellEnd"/>
      <w:r w:rsidRPr="00697704">
        <w:rPr>
          <w:lang w:val="en-US"/>
        </w:rPr>
        <w:t xml:space="preserve"> determination of both polarization angles or, with some assumptions, only inclination in every receiver is a critical factor for the estimation of local anisotropy by using P wave only inversion (</w:t>
      </w:r>
      <w:proofErr w:type="spellStart"/>
      <w:r w:rsidRPr="00697704">
        <w:rPr>
          <w:lang w:val="en-US"/>
        </w:rPr>
        <w:t>Grechka</w:t>
      </w:r>
      <w:proofErr w:type="spellEnd"/>
      <w:r w:rsidRPr="00697704">
        <w:rPr>
          <w:lang w:val="en-US"/>
        </w:rPr>
        <w:t xml:space="preserve"> and Mateeva 2007).</w:t>
      </w:r>
    </w:p>
    <w:p w14:paraId="6928FBBA" w14:textId="77777777" w:rsidR="00697704" w:rsidRPr="00697704" w:rsidRDefault="00697704" w:rsidP="00697704">
      <w:pPr>
        <w:rPr>
          <w:lang w:val="en-US"/>
        </w:rPr>
      </w:pPr>
      <w:r w:rsidRPr="00697704">
        <w:rPr>
          <w:lang w:val="en-US"/>
        </w:rPr>
        <w:t xml:space="preserve">The case study in the </w:t>
      </w:r>
      <w:r w:rsidRPr="00697704">
        <w:rPr>
          <w:i/>
          <w:iCs/>
          <w:lang w:val="en-US"/>
        </w:rPr>
        <w:t>Geophysics</w:t>
      </w:r>
      <w:r w:rsidRPr="00697704">
        <w:rPr>
          <w:lang w:val="en-US"/>
        </w:rPr>
        <w:t xml:space="preserve"> paper applies the method to a deep-water Gulf of Mexico walkaway VSP with anisotropic sediments below an essentially isotropic salt body. The result — strong, locally varying VTI parameters in the sub-salt sediments and near-zero anisotropy in the salt — demonstrates the method's ability to resolve the contrast across the salt interface despite the geometric and velocity complexity of the salt body itself.</w:t>
      </w:r>
    </w:p>
    <w:p w14:paraId="644DFDE9" w14:textId="77777777" w:rsidR="00697704" w:rsidRPr="00697704" w:rsidRDefault="00697704" w:rsidP="00697704">
      <w:pPr>
        <w:rPr>
          <w:b/>
          <w:bCs/>
          <w:lang w:val="en-US"/>
        </w:rPr>
      </w:pPr>
      <w:proofErr w:type="spellStart"/>
      <w:r w:rsidRPr="00697704">
        <w:rPr>
          <w:b/>
          <w:bCs/>
          <w:lang w:val="en-US"/>
        </w:rPr>
        <w:t>Grechka</w:t>
      </w:r>
      <w:proofErr w:type="spellEnd"/>
      <w:r w:rsidRPr="00697704">
        <w:rPr>
          <w:b/>
          <w:bCs/>
          <w:lang w:val="en-US"/>
        </w:rPr>
        <w:t xml:space="preserve">, Mateeva, Gentry, Jorgensen, Lopez &amp; Franco (2007), </w:t>
      </w:r>
      <w:r w:rsidRPr="00697704">
        <w:rPr>
          <w:b/>
          <w:bCs/>
          <w:i/>
          <w:iCs/>
          <w:lang w:val="en-US"/>
        </w:rPr>
        <w:t>The Leading Edge</w:t>
      </w:r>
      <w:r w:rsidRPr="00697704">
        <w:rPr>
          <w:b/>
          <w:bCs/>
          <w:lang w:val="en-US"/>
        </w:rPr>
        <w:t xml:space="preserve"> 26(6): the practitioner companion</w:t>
      </w:r>
    </w:p>
    <w:p w14:paraId="1F12D0B4" w14:textId="77777777" w:rsidR="00697704" w:rsidRPr="00697704" w:rsidRDefault="00697704" w:rsidP="00697704">
      <w:pPr>
        <w:rPr>
          <w:lang w:val="en-US"/>
        </w:rPr>
      </w:pPr>
      <w:r w:rsidRPr="00697704">
        <w:rPr>
          <w:lang w:val="en-US"/>
        </w:rPr>
        <w:t xml:space="preserve">This paper is best understood as the operational summary of the </w:t>
      </w:r>
      <w:r w:rsidRPr="00697704">
        <w:rPr>
          <w:i/>
          <w:iCs/>
          <w:lang w:val="en-US"/>
        </w:rPr>
        <w:t>Geophysics</w:t>
      </w:r>
      <w:r w:rsidRPr="00697704">
        <w:rPr>
          <w:lang w:val="en-US"/>
        </w:rPr>
        <w:t xml:space="preserve"> paper, written for the audience that reads </w:t>
      </w:r>
      <w:r w:rsidRPr="00697704">
        <w:rPr>
          <w:i/>
          <w:iCs/>
          <w:lang w:val="en-US"/>
        </w:rPr>
        <w:t>The Leading Edge</w:t>
      </w:r>
      <w:r w:rsidRPr="00697704">
        <w:rPr>
          <w:lang w:val="en-US"/>
        </w:rPr>
        <w:t xml:space="preserve"> — interpreters, asset-team geophysicists, acquisition planners — rather than algorithm </w:t>
      </w:r>
      <w:proofErr w:type="spellStart"/>
      <w:r w:rsidRPr="00697704">
        <w:rPr>
          <w:lang w:val="en-US"/>
        </w:rPr>
        <w:t>developers.To</w:t>
      </w:r>
      <w:proofErr w:type="spellEnd"/>
      <w:r w:rsidRPr="00697704">
        <w:rPr>
          <w:lang w:val="en-US"/>
        </w:rPr>
        <w:t xml:space="preserve"> overcome the limitations of available slowness-polarization inversion techniques, </w:t>
      </w:r>
      <w:proofErr w:type="spellStart"/>
      <w:r w:rsidRPr="00697704">
        <w:rPr>
          <w:lang w:val="en-US"/>
        </w:rPr>
        <w:t>Grechka</w:t>
      </w:r>
      <w:proofErr w:type="spellEnd"/>
      <w:r w:rsidRPr="00697704">
        <w:rPr>
          <w:lang w:val="en-US"/>
        </w:rPr>
        <w:t xml:space="preserve"> and Mateeva (2006) proposed a method that uses only the first arriving P-waves; the typical slowness-polarization data and the salt parameters estimated from them are shown. It strips most of the equations, reproduces representative slowness–polarization plots and the resulting interval VTI parameters, and emphasizes the practical workflow: how to design a walkaway line that gives the necessary phase-angle range, what receiver spacing is needed to estimate q reliably from finite differences, and how to integrate the inverted parameters into anisotropic depth migration of surface seismic data. Its function in the literature is to validate, on real-data examples beyond the </w:t>
      </w:r>
      <w:r w:rsidRPr="00697704">
        <w:rPr>
          <w:i/>
          <w:iCs/>
          <w:lang w:val="en-US"/>
        </w:rPr>
        <w:t>Geophysics</w:t>
      </w:r>
      <w:r w:rsidRPr="00697704">
        <w:rPr>
          <w:lang w:val="en-US"/>
        </w:rPr>
        <w:t xml:space="preserve"> paper's case, that the slowness–polarization method is operationally usable rather than a research curiosity.</w:t>
      </w:r>
    </w:p>
    <w:p w14:paraId="2FDD42F0" w14:textId="77777777" w:rsidR="00697704" w:rsidRPr="00697704" w:rsidRDefault="00697704" w:rsidP="00697704">
      <w:pPr>
        <w:rPr>
          <w:b/>
          <w:bCs/>
          <w:lang w:val="en-US"/>
        </w:rPr>
      </w:pPr>
      <w:r w:rsidRPr="00697704">
        <w:rPr>
          <w:b/>
          <w:bCs/>
        </w:rPr>
        <w:t xml:space="preserve">Liu, Liang, </w:t>
      </w:r>
      <w:proofErr w:type="spellStart"/>
      <w:r w:rsidRPr="00697704">
        <w:rPr>
          <w:b/>
          <w:bCs/>
        </w:rPr>
        <w:t>Yin</w:t>
      </w:r>
      <w:proofErr w:type="spellEnd"/>
      <w:r w:rsidRPr="00697704">
        <w:rPr>
          <w:b/>
          <w:bCs/>
        </w:rPr>
        <w:t xml:space="preserve"> et al. </w:t>
      </w:r>
      <w:r w:rsidRPr="00697704">
        <w:rPr>
          <w:b/>
          <w:bCs/>
          <w:lang w:val="en-US"/>
        </w:rPr>
        <w:t xml:space="preserve">(2014), </w:t>
      </w:r>
      <w:r w:rsidRPr="00697704">
        <w:rPr>
          <w:b/>
          <w:bCs/>
          <w:i/>
          <w:iCs/>
          <w:lang w:val="en-US"/>
        </w:rPr>
        <w:t>Applied Geophysics</w:t>
      </w:r>
      <w:r w:rsidRPr="00697704">
        <w:rPr>
          <w:b/>
          <w:bCs/>
          <w:lang w:val="en-US"/>
        </w:rPr>
        <w:t xml:space="preserve"> 11(1): the </w:t>
      </w:r>
      <w:proofErr w:type="spellStart"/>
      <w:r w:rsidRPr="00697704">
        <w:rPr>
          <w:b/>
          <w:bCs/>
          <w:lang w:val="en-US"/>
        </w:rPr>
        <w:t>traveltime</w:t>
      </w:r>
      <w:proofErr w:type="spellEnd"/>
      <w:r w:rsidRPr="00697704">
        <w:rPr>
          <w:b/>
          <w:bCs/>
          <w:lang w:val="en-US"/>
        </w:rPr>
        <w:t>-based alternative</w:t>
      </w:r>
    </w:p>
    <w:p w14:paraId="565DB7D8" w14:textId="77777777" w:rsidR="00697704" w:rsidRPr="00697704" w:rsidRDefault="00697704" w:rsidP="00697704">
      <w:pPr>
        <w:rPr>
          <w:lang w:val="en-US"/>
        </w:rPr>
      </w:pPr>
      <w:r w:rsidRPr="00697704">
        <w:rPr>
          <w:lang w:val="en-US"/>
        </w:rPr>
        <w:lastRenderedPageBreak/>
        <w:t xml:space="preserve">The Liu et al. paper takes a different route to the same destination. Instead of reducing each receiver gather to a (q, </w:t>
      </w:r>
      <w:r w:rsidRPr="00697704">
        <w:t>ψ</w:t>
      </w:r>
      <w:r w:rsidRPr="00697704">
        <w:rPr>
          <w:lang w:val="en-US"/>
        </w:rPr>
        <w:t xml:space="preserve">) pair, it inverts the </w:t>
      </w:r>
      <w:r w:rsidRPr="00697704">
        <w:rPr>
          <w:i/>
          <w:iCs/>
          <w:lang w:val="en-US"/>
        </w:rPr>
        <w:t xml:space="preserve">full set of first-arrival </w:t>
      </w:r>
      <w:proofErr w:type="spellStart"/>
      <w:r w:rsidRPr="00697704">
        <w:rPr>
          <w:i/>
          <w:iCs/>
          <w:lang w:val="en-US"/>
        </w:rPr>
        <w:t>traveltimes</w:t>
      </w:r>
      <w:proofErr w:type="spellEnd"/>
      <w:r w:rsidRPr="00697704">
        <w:rPr>
          <w:lang w:val="en-US"/>
        </w:rPr>
        <w:t xml:space="preserve"> across the walkaway line. The forward model is built in two pieces: a near-offset NMO-velocity correction that fixes the small-offset </w:t>
      </w:r>
      <w:proofErr w:type="spellStart"/>
      <w:r w:rsidRPr="00697704">
        <w:rPr>
          <w:lang w:val="en-US"/>
        </w:rPr>
        <w:t>traveltimes</w:t>
      </w:r>
      <w:proofErr w:type="spellEnd"/>
      <w:r w:rsidRPr="00697704">
        <w:rPr>
          <w:lang w:val="en-US"/>
        </w:rPr>
        <w:t xml:space="preserve">, and a ray-tracing step using Thomsen's P-wave velocity approximation that propagates the wavefield to far offsets. </w:t>
      </w:r>
      <w:r w:rsidRPr="00697704">
        <w:t>ε</w:t>
      </w:r>
      <w:r w:rsidRPr="00697704">
        <w:rPr>
          <w:lang w:val="en-US"/>
        </w:rPr>
        <w:t xml:space="preserve"> and </w:t>
      </w:r>
      <w:r w:rsidRPr="00697704">
        <w:t>δ</w:t>
      </w:r>
      <w:r w:rsidRPr="00697704">
        <w:rPr>
          <w:lang w:val="en-US"/>
        </w:rPr>
        <w:t xml:space="preserve"> are then determined by minimizing the misfit between modeled and picked first-break </w:t>
      </w:r>
      <w:proofErr w:type="spellStart"/>
      <w:r w:rsidRPr="00697704">
        <w:rPr>
          <w:lang w:val="en-US"/>
        </w:rPr>
        <w:t>traveltimes</w:t>
      </w:r>
      <w:proofErr w:type="spellEnd"/>
      <w:r w:rsidRPr="00697704">
        <w:rPr>
          <w:lang w:val="en-US"/>
        </w:rPr>
        <w:t xml:space="preserve">, with the near-offset times constraining </w:t>
      </w:r>
      <w:r w:rsidRPr="00697704">
        <w:t>δ</w:t>
      </w:r>
      <w:r w:rsidRPr="00697704">
        <w:rPr>
          <w:lang w:val="en-US"/>
        </w:rPr>
        <w:t xml:space="preserve"> and the far-offset times constraining </w:t>
      </w:r>
      <w:r w:rsidRPr="00697704">
        <w:t>ε</w:t>
      </w:r>
      <w:r w:rsidRPr="00697704">
        <w:rPr>
          <w:lang w:val="en-US"/>
        </w:rPr>
        <w:t xml:space="preserve"> (the same kinematic separation that justifies long-spread acquisition in surface seismic</w:t>
      </w:r>
      <w:proofErr w:type="gramStart"/>
      <w:r w:rsidRPr="00697704">
        <w:rPr>
          <w:lang w:val="en-US"/>
        </w:rPr>
        <w:t>).In</w:t>
      </w:r>
      <w:proofErr w:type="gramEnd"/>
      <w:r w:rsidRPr="00697704">
        <w:rPr>
          <w:lang w:val="en-US"/>
        </w:rPr>
        <w:t xml:space="preserve"> this study, we developed a method for estimating Thomsen's P-wave anisotropic parameters in VTI media using the first arrivals from walkaway VSP data. Model first-arrival travel times are calculated </w:t>
      </w:r>
      <w:proofErr w:type="gramStart"/>
      <w:r w:rsidRPr="00697704">
        <w:rPr>
          <w:lang w:val="en-US"/>
        </w:rPr>
        <w:t>on the basis of</w:t>
      </w:r>
      <w:proofErr w:type="gramEnd"/>
      <w:r w:rsidRPr="00697704">
        <w:rPr>
          <w:lang w:val="en-US"/>
        </w:rPr>
        <w:t xml:space="preserve"> the near-offset normal moveout correction velocity in VTI media and ray tracing using Thomsen's P-wave velocity approximation. Then, the anisotropic parameters </w:t>
      </w:r>
      <w:r w:rsidRPr="00697704">
        <w:t>δ</w:t>
      </w:r>
      <w:r w:rsidRPr="00697704">
        <w:rPr>
          <w:lang w:val="en-US"/>
        </w:rPr>
        <w:t xml:space="preserve"> and ɛ are determined by minimizing the difference between the calculated and observed travel times for the near and far offsets.</w:t>
      </w:r>
    </w:p>
    <w:p w14:paraId="6462BE52" w14:textId="77777777" w:rsidR="00697704" w:rsidRPr="00697704" w:rsidRDefault="00697704" w:rsidP="00697704">
      <w:pPr>
        <w:rPr>
          <w:lang w:val="en-US"/>
        </w:rPr>
      </w:pPr>
      <w:r w:rsidRPr="00697704">
        <w:rPr>
          <w:lang w:val="en-US"/>
        </w:rPr>
        <w:t xml:space="preserve">The case study uses an eight-azimuth walkaway VSP from a fractured-vuggy carbonate reservoir in the Tarim Basin, China, at depth roughly 6 km. The inverted </w:t>
      </w:r>
      <w:r w:rsidRPr="00697704">
        <w:t>δ</w:t>
      </w:r>
      <w:r w:rsidRPr="00697704">
        <w:rPr>
          <w:lang w:val="en-US"/>
        </w:rPr>
        <w:t xml:space="preserve"> and </w:t>
      </w:r>
      <w:r w:rsidRPr="00697704">
        <w:t>ε</w:t>
      </w:r>
      <w:r w:rsidRPr="00697704">
        <w:rPr>
          <w:lang w:val="en-US"/>
        </w:rPr>
        <w:t xml:space="preserve"> are used to build an anisotropic depth-velocity model that is then applied to </w:t>
      </w:r>
      <w:proofErr w:type="spellStart"/>
      <w:r w:rsidRPr="00697704">
        <w:rPr>
          <w:lang w:val="en-US"/>
        </w:rPr>
        <w:t>prestack</w:t>
      </w:r>
      <w:proofErr w:type="spellEnd"/>
      <w:r w:rsidRPr="00697704">
        <w:rPr>
          <w:lang w:val="en-US"/>
        </w:rPr>
        <w:t xml:space="preserve"> depth migration of the surface 3D survey. The reported result — improved imaging of the carbonate reservoir and reduced depth errors at well markers — is the bottom-line metric that justifies the acquisition of the walkaway VSP in the first </w:t>
      </w:r>
      <w:proofErr w:type="spellStart"/>
      <w:r w:rsidRPr="00697704">
        <w:rPr>
          <w:lang w:val="en-US"/>
        </w:rPr>
        <w:t>place.Using</w:t>
      </w:r>
      <w:proofErr w:type="spellEnd"/>
      <w:r w:rsidRPr="00697704">
        <w:rPr>
          <w:lang w:val="en-US"/>
        </w:rPr>
        <w:t xml:space="preserve"> field data from an eight-azimuth walkaway VSP in Tarim Basin, we estimated the parameters </w:t>
      </w:r>
      <w:r w:rsidRPr="00697704">
        <w:t>δ</w:t>
      </w:r>
      <w:r w:rsidRPr="00697704">
        <w:rPr>
          <w:lang w:val="en-US"/>
        </w:rPr>
        <w:t xml:space="preserve"> and ɛ and built an anisotropic depth-velocity model for </w:t>
      </w:r>
      <w:proofErr w:type="spellStart"/>
      <w:r w:rsidRPr="00697704">
        <w:rPr>
          <w:lang w:val="en-US"/>
        </w:rPr>
        <w:t>prestack</w:t>
      </w:r>
      <w:proofErr w:type="spellEnd"/>
      <w:r w:rsidRPr="00697704">
        <w:rPr>
          <w:lang w:val="en-US"/>
        </w:rPr>
        <w:t xml:space="preserve"> depth migration processing of surface 3D seismic data. The results show improvement in imaging the carbonate reservoirs and minimizing the depth errors of the geological targets.</w:t>
      </w:r>
    </w:p>
    <w:p w14:paraId="3B2C3C5C" w14:textId="77777777" w:rsidR="00697704" w:rsidRPr="00697704" w:rsidRDefault="00697704" w:rsidP="00697704">
      <w:pPr>
        <w:rPr>
          <w:b/>
          <w:bCs/>
          <w:lang w:val="en-US"/>
        </w:rPr>
      </w:pPr>
      <w:r w:rsidRPr="00697704">
        <w:rPr>
          <w:b/>
          <w:bCs/>
          <w:lang w:val="en-US"/>
        </w:rPr>
        <w:t>Comparison and significance</w:t>
      </w:r>
    </w:p>
    <w:p w14:paraId="2B1476D5" w14:textId="77777777" w:rsidR="00697704" w:rsidRPr="00697704" w:rsidRDefault="00697704" w:rsidP="00697704">
      <w:pPr>
        <w:rPr>
          <w:lang w:val="en-US"/>
        </w:rPr>
      </w:pPr>
      <w:r w:rsidRPr="00697704">
        <w:rPr>
          <w:lang w:val="en-US"/>
        </w:rPr>
        <w:t>Reading the three papers together brings out several useful points.</w:t>
      </w:r>
    </w:p>
    <w:p w14:paraId="4B1F81F3" w14:textId="77777777" w:rsidR="00697704" w:rsidRPr="00697704" w:rsidRDefault="00697704" w:rsidP="00697704">
      <w:pPr>
        <w:rPr>
          <w:lang w:val="en-US"/>
        </w:rPr>
      </w:pPr>
      <w:r w:rsidRPr="00697704">
        <w:rPr>
          <w:lang w:val="en-US"/>
        </w:rPr>
        <w:t xml:space="preserve">The two methods occupy </w:t>
      </w:r>
      <w:r w:rsidRPr="00697704">
        <w:rPr>
          <w:i/>
          <w:iCs/>
          <w:lang w:val="en-US"/>
        </w:rPr>
        <w:t>complementary</w:t>
      </w:r>
      <w:r w:rsidRPr="00697704">
        <w:rPr>
          <w:lang w:val="en-US"/>
        </w:rPr>
        <w:t xml:space="preserve"> niches rather than competing. Slowness–polarization (</w:t>
      </w:r>
      <w:proofErr w:type="spellStart"/>
      <w:r w:rsidRPr="00697704">
        <w:rPr>
          <w:lang w:val="en-US"/>
        </w:rPr>
        <w:t>Grechka</w:t>
      </w:r>
      <w:proofErr w:type="spellEnd"/>
      <w:r w:rsidRPr="00697704">
        <w:rPr>
          <w:lang w:val="en-US"/>
        </w:rPr>
        <w:t xml:space="preserve">–Mateeva) is local — it gives interval parameters at the receiver depth and is insensitive to the overburden — but it requires reliable polarization-angle estimation, which is operationally demanding, especially in noisy or salt-distorted environments. </w:t>
      </w:r>
      <w:proofErr w:type="spellStart"/>
      <w:r w:rsidRPr="00697704">
        <w:rPr>
          <w:lang w:val="en-US"/>
        </w:rPr>
        <w:t>Traveltime</w:t>
      </w:r>
      <w:proofErr w:type="spellEnd"/>
      <w:r w:rsidRPr="00697704">
        <w:rPr>
          <w:lang w:val="en-US"/>
        </w:rPr>
        <w:t xml:space="preserve"> inversion (Liu et al.) is more robust to noise because first-break picks are usually the cleanest measurement on a VSP record, but it is non-local: the inverted </w:t>
      </w:r>
      <w:r w:rsidRPr="00697704">
        <w:t>ε</w:t>
      </w:r>
      <w:r w:rsidRPr="00697704">
        <w:rPr>
          <w:lang w:val="en-US"/>
        </w:rPr>
        <w:t xml:space="preserve"> and </w:t>
      </w:r>
      <w:r w:rsidRPr="00697704">
        <w:t>δ</w:t>
      </w:r>
      <w:r w:rsidRPr="00697704">
        <w:rPr>
          <w:lang w:val="en-US"/>
        </w:rPr>
        <w:t xml:space="preserve"> are </w:t>
      </w:r>
      <w:r w:rsidRPr="00697704">
        <w:rPr>
          <w:i/>
          <w:iCs/>
          <w:lang w:val="en-US"/>
        </w:rPr>
        <w:t>effective</w:t>
      </w:r>
      <w:r w:rsidRPr="00697704">
        <w:rPr>
          <w:lang w:val="en-US"/>
        </w:rPr>
        <w:t xml:space="preserve"> parameters for the path between source and receiver and depend on the velocity model used to ray-trace, so heterogeneity in the overburden contaminates the answer unless explicitly modeled. In practice, modern industrial workflows often combine the two, using slowness–polarization to anchor the local interval parameters and </w:t>
      </w:r>
      <w:proofErr w:type="spellStart"/>
      <w:r w:rsidRPr="00697704">
        <w:rPr>
          <w:lang w:val="en-US"/>
        </w:rPr>
        <w:t>traveltime</w:t>
      </w:r>
      <w:proofErr w:type="spellEnd"/>
      <w:r w:rsidRPr="00697704">
        <w:rPr>
          <w:lang w:val="en-US"/>
        </w:rPr>
        <w:t xml:space="preserve"> tomography to fill in the overburden, as the joint </w:t>
      </w:r>
      <w:r w:rsidRPr="00697704">
        <w:rPr>
          <w:lang w:val="en-US"/>
        </w:rPr>
        <w:lastRenderedPageBreak/>
        <w:t>VSP/surface tomography algorithms reviewed in the cited Bing et al. (2008) and similar works.</w:t>
      </w:r>
    </w:p>
    <w:p w14:paraId="12C92670" w14:textId="77777777" w:rsidR="00697704" w:rsidRPr="00697704" w:rsidRDefault="00697704" w:rsidP="00697704">
      <w:pPr>
        <w:rPr>
          <w:lang w:val="en-US"/>
        </w:rPr>
      </w:pPr>
      <w:r w:rsidRPr="00697704">
        <w:rPr>
          <w:lang w:val="en-US"/>
        </w:rPr>
        <w:t xml:space="preserve">A second observation is that all three papers implicitly assume </w:t>
      </w:r>
      <w:r w:rsidRPr="00697704">
        <w:rPr>
          <w:i/>
          <w:iCs/>
          <w:lang w:val="en-US"/>
        </w:rPr>
        <w:t>VTI</w:t>
      </w:r>
      <w:r w:rsidRPr="00697704">
        <w:rPr>
          <w:lang w:val="en-US"/>
        </w:rPr>
        <w:t xml:space="preserve"> in the inversion, with orthorhombic generalizations relegated to multi-azimuth acquisition. The honest current view — articulated in the South Pars and Vaca Muerta case studies and in the </w:t>
      </w:r>
      <w:proofErr w:type="spellStart"/>
      <w:r w:rsidRPr="00697704">
        <w:rPr>
          <w:lang w:val="en-US"/>
        </w:rPr>
        <w:t>Tsvankin</w:t>
      </w:r>
      <w:proofErr w:type="spellEnd"/>
      <w:r w:rsidRPr="00697704">
        <w:rPr>
          <w:lang w:val="en-US"/>
        </w:rPr>
        <w:t>–</w:t>
      </w:r>
      <w:proofErr w:type="spellStart"/>
      <w:r w:rsidRPr="00697704">
        <w:rPr>
          <w:lang w:val="en-US"/>
        </w:rPr>
        <w:t>Grechka</w:t>
      </w:r>
      <w:proofErr w:type="spellEnd"/>
      <w:r w:rsidRPr="00697704">
        <w:rPr>
          <w:lang w:val="en-US"/>
        </w:rPr>
        <w:t xml:space="preserve"> 2011 monograph — is that VTI is usually too simplistic, and that a single walkaway line therefore typically inverts to an </w:t>
      </w:r>
      <w:r w:rsidRPr="00697704">
        <w:rPr>
          <w:i/>
          <w:iCs/>
          <w:lang w:val="en-US"/>
        </w:rPr>
        <w:t>azimuthally averaged</w:t>
      </w:r>
      <w:r w:rsidRPr="00697704">
        <w:rPr>
          <w:lang w:val="en-US"/>
        </w:rPr>
        <w:t xml:space="preserve"> set of parameters rather than a true local anisotropy. Liu et al.'s eight-azimuth Tarim acquisition is partly a response to this: with sufficient azimuthal coverage, even a </w:t>
      </w:r>
      <w:proofErr w:type="spellStart"/>
      <w:r w:rsidRPr="00697704">
        <w:rPr>
          <w:lang w:val="en-US"/>
        </w:rPr>
        <w:t>traveltime</w:t>
      </w:r>
      <w:proofErr w:type="spellEnd"/>
      <w:r w:rsidRPr="00697704">
        <w:rPr>
          <w:lang w:val="en-US"/>
        </w:rPr>
        <w:t>-based method can resolve azimuthal variation, though they do not push their inversion all the way to orthorhombic.</w:t>
      </w:r>
    </w:p>
    <w:p w14:paraId="49D46463" w14:textId="77777777" w:rsidR="00697704" w:rsidRPr="00697704" w:rsidRDefault="00697704" w:rsidP="00697704">
      <w:pPr>
        <w:rPr>
          <w:lang w:val="en-US"/>
        </w:rPr>
      </w:pPr>
      <w:r w:rsidRPr="00697704">
        <w:rPr>
          <w:lang w:val="en-US"/>
        </w:rPr>
        <w:t xml:space="preserve">A third observation is that all three papers exemplify the ongoing shift in industrial anisotropy practice from </w:t>
      </w:r>
      <w:r w:rsidRPr="00697704">
        <w:rPr>
          <w:i/>
          <w:iCs/>
          <w:lang w:val="en-US"/>
        </w:rPr>
        <w:t>surface-seismic</w:t>
      </w:r>
      <w:r w:rsidRPr="00697704">
        <w:rPr>
          <w:lang w:val="en-US"/>
        </w:rPr>
        <w:t xml:space="preserve"> to </w:t>
      </w:r>
      <w:r w:rsidRPr="00697704">
        <w:rPr>
          <w:i/>
          <w:iCs/>
          <w:lang w:val="en-US"/>
        </w:rPr>
        <w:t>borehole</w:t>
      </w:r>
      <w:r w:rsidRPr="00697704">
        <w:rPr>
          <w:lang w:val="en-US"/>
        </w:rPr>
        <w:t xml:space="preserve"> parameter estimation. Surface long-offset nonhyperbolic moveout inversion (</w:t>
      </w:r>
      <w:proofErr w:type="spellStart"/>
      <w:r w:rsidRPr="00697704">
        <w:rPr>
          <w:lang w:val="en-US"/>
        </w:rPr>
        <w:t>Alkhalifah</w:t>
      </w:r>
      <w:proofErr w:type="spellEnd"/>
      <w:r w:rsidRPr="00697704">
        <w:rPr>
          <w:lang w:val="en-US"/>
        </w:rPr>
        <w:t xml:space="preserve"> &amp; Tsvankin, 1995; </w:t>
      </w:r>
      <w:proofErr w:type="spellStart"/>
      <w:r w:rsidRPr="00697704">
        <w:rPr>
          <w:lang w:val="en-US"/>
        </w:rPr>
        <w:t>Tsvankin</w:t>
      </w:r>
      <w:proofErr w:type="spellEnd"/>
      <w:r w:rsidRPr="00697704">
        <w:rPr>
          <w:lang w:val="en-US"/>
        </w:rPr>
        <w:t xml:space="preserve"> &amp; Thomsen, 1994) recovers </w:t>
      </w:r>
      <w:r w:rsidRPr="00697704">
        <w:t>η</w:t>
      </w:r>
      <w:r w:rsidRPr="00697704">
        <w:rPr>
          <w:lang w:val="en-US"/>
        </w:rPr>
        <w:t xml:space="preserve"> = (</w:t>
      </w:r>
      <w:r w:rsidRPr="00697704">
        <w:t>ε</w:t>
      </w:r>
      <w:r w:rsidRPr="00697704">
        <w:rPr>
          <w:lang w:val="en-US"/>
        </w:rPr>
        <w:t>−</w:t>
      </w:r>
      <w:r w:rsidRPr="00697704">
        <w:t>δ</w:t>
      </w:r>
      <w:r w:rsidRPr="00697704">
        <w:rPr>
          <w:lang w:val="en-US"/>
        </w:rPr>
        <w:t>)/(1+2</w:t>
      </w:r>
      <w:r w:rsidRPr="00697704">
        <w:t>δ</w:t>
      </w:r>
      <w:r w:rsidRPr="00697704">
        <w:rPr>
          <w:lang w:val="en-US"/>
        </w:rPr>
        <w:t xml:space="preserve">) but cannot separate </w:t>
      </w:r>
      <w:r w:rsidRPr="00697704">
        <w:t>ε</w:t>
      </w:r>
      <w:r w:rsidRPr="00697704">
        <w:rPr>
          <w:lang w:val="en-US"/>
        </w:rPr>
        <w:t xml:space="preserve"> from </w:t>
      </w:r>
      <w:r w:rsidRPr="00697704">
        <w:t>δ</w:t>
      </w:r>
      <w:r w:rsidRPr="00697704">
        <w:rPr>
          <w:lang w:val="en-US"/>
        </w:rPr>
        <w:t xml:space="preserve"> without external depth information. Walkaway VSP supplies </w:t>
      </w:r>
      <w:proofErr w:type="gramStart"/>
      <w:r w:rsidRPr="00697704">
        <w:rPr>
          <w:lang w:val="en-US"/>
        </w:rPr>
        <w:t xml:space="preserve">that </w:t>
      </w:r>
      <w:proofErr w:type="gramEnd"/>
      <w:r w:rsidRPr="00697704">
        <w:rPr>
          <w:lang w:val="en-US"/>
        </w:rPr>
        <w:t>depth information directly through the receiver array, and the three papers reviewed here show that doing so is now operationally routine.</w:t>
      </w:r>
    </w:p>
    <w:p w14:paraId="741C11AA" w14:textId="77777777" w:rsidR="00697704" w:rsidRPr="00697704" w:rsidRDefault="00697704" w:rsidP="00697704">
      <w:pPr>
        <w:rPr>
          <w:lang w:val="en-US"/>
        </w:rPr>
      </w:pPr>
      <w:r w:rsidRPr="00697704">
        <w:rPr>
          <w:lang w:val="en-US"/>
        </w:rPr>
        <w:t xml:space="preserve">The lasting contributions are clear. </w:t>
      </w:r>
      <w:proofErr w:type="spellStart"/>
      <w:r w:rsidRPr="00697704">
        <w:rPr>
          <w:lang w:val="en-US"/>
        </w:rPr>
        <w:t>Grechka</w:t>
      </w:r>
      <w:proofErr w:type="spellEnd"/>
      <w:r w:rsidRPr="00697704">
        <w:rPr>
          <w:lang w:val="en-US"/>
        </w:rPr>
        <w:t xml:space="preserve"> &amp; Mateeva (2007) is now the canonical reference for local VTI/orthorhombic parameter estimation from VSP and has been applied at sites ranging </w:t>
      </w:r>
      <w:proofErr w:type="gramStart"/>
      <w:r w:rsidRPr="00697704">
        <w:rPr>
          <w:lang w:val="en-US"/>
        </w:rPr>
        <w:t>from Wysin-1 (Poland, sub-salt shale gas),</w:t>
      </w:r>
      <w:proofErr w:type="gramEnd"/>
      <w:r w:rsidRPr="00697704">
        <w:rPr>
          <w:lang w:val="en-US"/>
        </w:rPr>
        <w:t xml:space="preserve"> to South Pars (Iran, gas), to the Bakken (USA, </w:t>
      </w:r>
      <w:proofErr w:type="spellStart"/>
      <w:r w:rsidRPr="00697704">
        <w:rPr>
          <w:lang w:val="en-US"/>
        </w:rPr>
        <w:t>microseismic</w:t>
      </w:r>
      <w:proofErr w:type="spellEnd"/>
      <w:r w:rsidRPr="00697704">
        <w:rPr>
          <w:lang w:val="en-US"/>
        </w:rPr>
        <w:t xml:space="preserve">-supplemented). Liu et al. (2014) is the canonical reference for the </w:t>
      </w:r>
      <w:proofErr w:type="spellStart"/>
      <w:r w:rsidRPr="00697704">
        <w:rPr>
          <w:lang w:val="en-US"/>
        </w:rPr>
        <w:t>traveltime</w:t>
      </w:r>
      <w:proofErr w:type="spellEnd"/>
      <w:r w:rsidRPr="00697704">
        <w:rPr>
          <w:lang w:val="en-US"/>
        </w:rPr>
        <w:t xml:space="preserve"> alternative when polarization quality is poor and is the workflow of choice in carbonate plays where VSP is acquired primarily to calibrate depth migration. Together they form the practical toolkit any modern walkaway-VSP project will draw on.</w:t>
      </w:r>
    </w:p>
    <w:p w14:paraId="73DE8F94" w14:textId="77777777" w:rsidR="00697704" w:rsidRPr="00697704" w:rsidRDefault="00697704" w:rsidP="00697704">
      <w:pPr>
        <w:rPr>
          <w:b/>
          <w:bCs/>
        </w:rPr>
      </w:pPr>
      <w:r w:rsidRPr="00697704">
        <w:rPr>
          <w:b/>
          <w:bCs/>
        </w:rPr>
        <w:t>References</w:t>
      </w:r>
    </w:p>
    <w:p w14:paraId="3C372577" w14:textId="77777777" w:rsidR="00697704" w:rsidRPr="00697704" w:rsidRDefault="00697704" w:rsidP="00697704">
      <w:pPr>
        <w:numPr>
          <w:ilvl w:val="0"/>
          <w:numId w:val="2"/>
        </w:numPr>
      </w:pPr>
      <w:proofErr w:type="spellStart"/>
      <w:r w:rsidRPr="00697704">
        <w:rPr>
          <w:lang w:val="en-US"/>
        </w:rPr>
        <w:t>Grechka</w:t>
      </w:r>
      <w:proofErr w:type="spellEnd"/>
      <w:r w:rsidRPr="00697704">
        <w:rPr>
          <w:lang w:val="en-US"/>
        </w:rPr>
        <w:t xml:space="preserve">, V., &amp; Mateeva, A. (2007). Inversion of P-wave VSP data for local anisotropy: Theory and a case study. </w:t>
      </w:r>
      <w:proofErr w:type="spellStart"/>
      <w:r w:rsidRPr="00697704">
        <w:rPr>
          <w:i/>
          <w:iCs/>
        </w:rPr>
        <w:t>Geophysics</w:t>
      </w:r>
      <w:proofErr w:type="spellEnd"/>
      <w:r w:rsidRPr="00697704">
        <w:t>, 72(4), D69–D79. https://doi.org/10.1190/1.2742970</w:t>
      </w:r>
    </w:p>
    <w:p w14:paraId="2AA51415" w14:textId="77777777" w:rsidR="00697704" w:rsidRPr="00697704" w:rsidRDefault="00697704" w:rsidP="00697704">
      <w:pPr>
        <w:numPr>
          <w:ilvl w:val="0"/>
          <w:numId w:val="2"/>
        </w:numPr>
      </w:pPr>
      <w:proofErr w:type="spellStart"/>
      <w:r w:rsidRPr="00697704">
        <w:rPr>
          <w:lang w:val="en-US"/>
        </w:rPr>
        <w:t>Grechka</w:t>
      </w:r>
      <w:proofErr w:type="spellEnd"/>
      <w:r w:rsidRPr="00697704">
        <w:rPr>
          <w:lang w:val="en-US"/>
        </w:rPr>
        <w:t xml:space="preserve">, V., Mateeva, A., Gentry, C., Jorgensen, P., Lopez, J., &amp; Franco, G. (2007). Estimation of seismic anisotropy from P-wave VSP data. </w:t>
      </w:r>
      <w:r w:rsidRPr="00697704">
        <w:rPr>
          <w:i/>
          <w:iCs/>
        </w:rPr>
        <w:t xml:space="preserve">The </w:t>
      </w:r>
      <w:proofErr w:type="spellStart"/>
      <w:r w:rsidRPr="00697704">
        <w:rPr>
          <w:i/>
          <w:iCs/>
        </w:rPr>
        <w:t>Leading</w:t>
      </w:r>
      <w:proofErr w:type="spellEnd"/>
      <w:r w:rsidRPr="00697704">
        <w:rPr>
          <w:i/>
          <w:iCs/>
        </w:rPr>
        <w:t xml:space="preserve"> Edge</w:t>
      </w:r>
      <w:r w:rsidRPr="00697704">
        <w:t>, 26(6), 756–759.</w:t>
      </w:r>
    </w:p>
    <w:p w14:paraId="1A0038E8" w14:textId="77777777" w:rsidR="00697704" w:rsidRPr="00697704" w:rsidRDefault="00697704" w:rsidP="00697704">
      <w:pPr>
        <w:numPr>
          <w:ilvl w:val="0"/>
          <w:numId w:val="2"/>
        </w:numPr>
      </w:pPr>
      <w:r w:rsidRPr="00697704">
        <w:t xml:space="preserve">Liu, Y. M., Liang, </w:t>
      </w:r>
      <w:proofErr w:type="spellStart"/>
      <w:r w:rsidRPr="00697704">
        <w:t>X</w:t>
      </w:r>
      <w:proofErr w:type="spellEnd"/>
      <w:r w:rsidRPr="00697704">
        <w:t xml:space="preserve">. H., </w:t>
      </w:r>
      <w:proofErr w:type="spellStart"/>
      <w:r w:rsidRPr="00697704">
        <w:t>Yin</w:t>
      </w:r>
      <w:proofErr w:type="spellEnd"/>
      <w:r w:rsidRPr="00697704">
        <w:t xml:space="preserve">, </w:t>
      </w:r>
      <w:proofErr w:type="spellStart"/>
      <w:r w:rsidRPr="00697704">
        <w:t>X</w:t>
      </w:r>
      <w:proofErr w:type="spellEnd"/>
      <w:r w:rsidRPr="00697704">
        <w:t xml:space="preserve">. Y., et al. </w:t>
      </w:r>
      <w:r w:rsidRPr="00697704">
        <w:rPr>
          <w:lang w:val="en-US"/>
        </w:rPr>
        <w:t xml:space="preserve">(2014). Estimation of Thomsen's anisotropic parameters from walkaway VSP and applications. </w:t>
      </w:r>
      <w:r w:rsidRPr="00697704">
        <w:rPr>
          <w:i/>
          <w:iCs/>
        </w:rPr>
        <w:t xml:space="preserve">Applied </w:t>
      </w:r>
      <w:proofErr w:type="spellStart"/>
      <w:r w:rsidRPr="00697704">
        <w:rPr>
          <w:i/>
          <w:iCs/>
        </w:rPr>
        <w:t>Geophysics</w:t>
      </w:r>
      <w:proofErr w:type="spellEnd"/>
      <w:r w:rsidRPr="00697704">
        <w:t>, 11(1), 23–30. https://doi.org/10.1007/s11770-013-0410-z</w:t>
      </w:r>
    </w:p>
    <w:p w14:paraId="1593D681" w14:textId="77777777" w:rsidR="00697704" w:rsidRPr="00697704" w:rsidRDefault="00697704" w:rsidP="00697704">
      <w:pPr>
        <w:rPr>
          <w:lang w:val="en-US"/>
        </w:rPr>
      </w:pPr>
      <w:r w:rsidRPr="00697704">
        <w:rPr>
          <w:lang w:val="en-US"/>
        </w:rPr>
        <w:t>Closely related references that appear repeatedly in all three papers:</w:t>
      </w:r>
    </w:p>
    <w:p w14:paraId="6398CB82" w14:textId="77777777" w:rsidR="00697704" w:rsidRPr="00697704" w:rsidRDefault="00697704" w:rsidP="00697704">
      <w:pPr>
        <w:numPr>
          <w:ilvl w:val="0"/>
          <w:numId w:val="3"/>
        </w:numPr>
        <w:rPr>
          <w:lang w:val="en-US"/>
        </w:rPr>
      </w:pPr>
      <w:r w:rsidRPr="00697704">
        <w:rPr>
          <w:lang w:val="en-US"/>
        </w:rPr>
        <w:lastRenderedPageBreak/>
        <w:t xml:space="preserve">Dewangan, P., &amp; </w:t>
      </w:r>
      <w:proofErr w:type="spellStart"/>
      <w:r w:rsidRPr="00697704">
        <w:rPr>
          <w:lang w:val="en-US"/>
        </w:rPr>
        <w:t>Grechka</w:t>
      </w:r>
      <w:proofErr w:type="spellEnd"/>
      <w:r w:rsidRPr="00697704">
        <w:rPr>
          <w:lang w:val="en-US"/>
        </w:rPr>
        <w:t xml:space="preserve">, V. (2003). Inversion of multicomponent, multi-azimuth walkaway VSP data for the stiffness tensor. </w:t>
      </w:r>
      <w:r w:rsidRPr="00697704">
        <w:rPr>
          <w:i/>
          <w:iCs/>
          <w:lang w:val="en-US"/>
        </w:rPr>
        <w:t>Geophysics</w:t>
      </w:r>
      <w:r w:rsidRPr="00697704">
        <w:rPr>
          <w:lang w:val="en-US"/>
        </w:rPr>
        <w:t xml:space="preserve">, 68, 1022–1031. (Earlier multi-component </w:t>
      </w:r>
      <w:proofErr w:type="gramStart"/>
      <w:r w:rsidRPr="00697704">
        <w:rPr>
          <w:lang w:val="en-US"/>
        </w:rPr>
        <w:t>method</w:t>
      </w:r>
      <w:proofErr w:type="gramEnd"/>
      <w:r w:rsidRPr="00697704">
        <w:rPr>
          <w:lang w:val="en-US"/>
        </w:rPr>
        <w:t xml:space="preserve"> that </w:t>
      </w:r>
      <w:proofErr w:type="spellStart"/>
      <w:r w:rsidRPr="00697704">
        <w:rPr>
          <w:lang w:val="en-US"/>
        </w:rPr>
        <w:t>Grechka</w:t>
      </w:r>
      <w:proofErr w:type="spellEnd"/>
      <w:r w:rsidRPr="00697704">
        <w:rPr>
          <w:lang w:val="en-US"/>
        </w:rPr>
        <w:t xml:space="preserve"> &amp; Mateeva were specifically </w:t>
      </w:r>
      <w:proofErr w:type="gramStart"/>
      <w:r w:rsidRPr="00697704">
        <w:rPr>
          <w:lang w:val="en-US"/>
        </w:rPr>
        <w:t>simplifying</w:t>
      </w:r>
      <w:proofErr w:type="gramEnd"/>
      <w:r w:rsidRPr="00697704">
        <w:rPr>
          <w:lang w:val="en-US"/>
        </w:rPr>
        <w:t>.)</w:t>
      </w:r>
    </w:p>
    <w:p w14:paraId="77C4205A" w14:textId="77777777" w:rsidR="00697704" w:rsidRPr="00697704" w:rsidRDefault="00697704" w:rsidP="00697704">
      <w:pPr>
        <w:numPr>
          <w:ilvl w:val="0"/>
          <w:numId w:val="3"/>
        </w:numPr>
      </w:pPr>
      <w:r w:rsidRPr="00697704">
        <w:rPr>
          <w:lang w:val="en-US"/>
        </w:rPr>
        <w:t xml:space="preserve">Horne, S., &amp; Leaney, S. (2000). Polarization and slowness component inversion for TI anisotropy. </w:t>
      </w:r>
      <w:proofErr w:type="spellStart"/>
      <w:r w:rsidRPr="00697704">
        <w:rPr>
          <w:i/>
          <w:iCs/>
        </w:rPr>
        <w:t>Geophysical</w:t>
      </w:r>
      <w:proofErr w:type="spellEnd"/>
      <w:r w:rsidRPr="00697704">
        <w:rPr>
          <w:i/>
          <w:iCs/>
        </w:rPr>
        <w:t xml:space="preserve"> </w:t>
      </w:r>
      <w:proofErr w:type="spellStart"/>
      <w:r w:rsidRPr="00697704">
        <w:rPr>
          <w:i/>
          <w:iCs/>
        </w:rPr>
        <w:t>Prospecting</w:t>
      </w:r>
      <w:proofErr w:type="spellEnd"/>
      <w:r w:rsidRPr="00697704">
        <w:t xml:space="preserve">, 48, 779–788. (The </w:t>
      </w:r>
      <w:proofErr w:type="spellStart"/>
      <w:r w:rsidRPr="00697704">
        <w:t>slowness</w:t>
      </w:r>
      <w:proofErr w:type="spellEnd"/>
      <w:r w:rsidRPr="00697704">
        <w:t>–</w:t>
      </w:r>
      <w:proofErr w:type="spellStart"/>
      <w:r w:rsidRPr="00697704">
        <w:t>polarization</w:t>
      </w:r>
      <w:proofErr w:type="spellEnd"/>
      <w:r w:rsidRPr="00697704">
        <w:t xml:space="preserve"> </w:t>
      </w:r>
      <w:proofErr w:type="spellStart"/>
      <w:r w:rsidRPr="00697704">
        <w:t>framework</w:t>
      </w:r>
      <w:proofErr w:type="spellEnd"/>
      <w:r w:rsidRPr="00697704">
        <w:t xml:space="preserve"> </w:t>
      </w:r>
      <w:proofErr w:type="spellStart"/>
      <w:r w:rsidRPr="00697704">
        <w:t>predating</w:t>
      </w:r>
      <w:proofErr w:type="spellEnd"/>
      <w:r w:rsidRPr="00697704">
        <w:t xml:space="preserve"> </w:t>
      </w:r>
      <w:proofErr w:type="spellStart"/>
      <w:r w:rsidRPr="00697704">
        <w:t>Grechka</w:t>
      </w:r>
      <w:proofErr w:type="spellEnd"/>
      <w:r w:rsidRPr="00697704">
        <w:t xml:space="preserve"> &amp; </w:t>
      </w:r>
      <w:proofErr w:type="spellStart"/>
      <w:r w:rsidRPr="00697704">
        <w:t>Mateeva</w:t>
      </w:r>
      <w:proofErr w:type="spellEnd"/>
      <w:r w:rsidRPr="00697704">
        <w:t>.)</w:t>
      </w:r>
    </w:p>
    <w:p w14:paraId="3A1A0CA4" w14:textId="77777777" w:rsidR="00697704" w:rsidRPr="00697704" w:rsidRDefault="00697704" w:rsidP="00697704">
      <w:pPr>
        <w:numPr>
          <w:ilvl w:val="0"/>
          <w:numId w:val="3"/>
        </w:numPr>
        <w:rPr>
          <w:lang w:val="en-US"/>
        </w:rPr>
      </w:pPr>
      <w:r w:rsidRPr="00697704">
        <w:rPr>
          <w:lang w:val="en-US"/>
        </w:rPr>
        <w:t xml:space="preserve">Tsvankin, I., &amp; Thomsen, L. (1994). Nonhyperbolic reflection moveout in anisotropic media. </w:t>
      </w:r>
      <w:r w:rsidRPr="00697704">
        <w:rPr>
          <w:i/>
          <w:iCs/>
          <w:lang w:val="en-US"/>
        </w:rPr>
        <w:t>Geophysics</w:t>
      </w:r>
      <w:r w:rsidRPr="00697704">
        <w:rPr>
          <w:lang w:val="en-US"/>
        </w:rPr>
        <w:t xml:space="preserve">, 59, 1290–1304. (The </w:t>
      </w:r>
      <w:r w:rsidRPr="00697704">
        <w:t>η</w:t>
      </w:r>
      <w:r w:rsidRPr="00697704">
        <w:rPr>
          <w:lang w:val="en-US"/>
        </w:rPr>
        <w:t xml:space="preserve">-equation that Liu et al.'s far-offset </w:t>
      </w:r>
      <w:proofErr w:type="spellStart"/>
      <w:r w:rsidRPr="00697704">
        <w:rPr>
          <w:lang w:val="en-US"/>
        </w:rPr>
        <w:t>traveltime</w:t>
      </w:r>
      <w:proofErr w:type="spellEnd"/>
      <w:r w:rsidRPr="00697704">
        <w:rPr>
          <w:lang w:val="en-US"/>
        </w:rPr>
        <w:t xml:space="preserve"> fitting effectively uses, transposed from reflection to transmission geometry.)</w:t>
      </w:r>
    </w:p>
    <w:p w14:paraId="1463B171" w14:textId="77777777" w:rsidR="00697704" w:rsidRPr="00697704" w:rsidRDefault="00697704" w:rsidP="00697704">
      <w:pPr>
        <w:numPr>
          <w:ilvl w:val="0"/>
          <w:numId w:val="3"/>
        </w:numPr>
        <w:rPr>
          <w:lang w:val="en-US"/>
        </w:rPr>
      </w:pPr>
      <w:r w:rsidRPr="00697704">
        <w:rPr>
          <w:lang w:val="en-US"/>
        </w:rPr>
        <w:t xml:space="preserve">Tsvankin, I., &amp; </w:t>
      </w:r>
      <w:proofErr w:type="spellStart"/>
      <w:r w:rsidRPr="00697704">
        <w:rPr>
          <w:lang w:val="en-US"/>
        </w:rPr>
        <w:t>Grechka</w:t>
      </w:r>
      <w:proofErr w:type="spellEnd"/>
      <w:r w:rsidRPr="00697704">
        <w:rPr>
          <w:lang w:val="en-US"/>
        </w:rPr>
        <w:t xml:space="preserve">, V. (2011). </w:t>
      </w:r>
      <w:r w:rsidRPr="00697704">
        <w:rPr>
          <w:i/>
          <w:iCs/>
          <w:lang w:val="en-US"/>
        </w:rPr>
        <w:t>Seismology of Azimuthally Anisotropic Media and Seismic Fracture Characterization</w:t>
      </w:r>
      <w:r w:rsidRPr="00697704">
        <w:rPr>
          <w:lang w:val="en-US"/>
        </w:rPr>
        <w:t xml:space="preserve">. SEG Geophysical References Series No. 17. (The book in which the </w:t>
      </w:r>
      <w:proofErr w:type="spellStart"/>
      <w:r w:rsidRPr="00697704">
        <w:rPr>
          <w:lang w:val="en-US"/>
        </w:rPr>
        <w:t>Grechka</w:t>
      </w:r>
      <w:proofErr w:type="spellEnd"/>
      <w:r w:rsidRPr="00697704">
        <w:rPr>
          <w:lang w:val="en-US"/>
        </w:rPr>
        <w:t>–Mateeva method is consolidated, with the wide-azimuth orthorhombic generalization.)</w:t>
      </w:r>
    </w:p>
    <w:p w14:paraId="4F9B08ED" w14:textId="77777777" w:rsidR="00697704" w:rsidRPr="00697704" w:rsidRDefault="00697704" w:rsidP="00697704">
      <w:pPr>
        <w:numPr>
          <w:ilvl w:val="0"/>
          <w:numId w:val="3"/>
        </w:numPr>
        <w:rPr>
          <w:lang w:val="en-US"/>
        </w:rPr>
      </w:pPr>
      <w:proofErr w:type="spellStart"/>
      <w:r w:rsidRPr="00697704">
        <w:t>Abedi</w:t>
      </w:r>
      <w:proofErr w:type="spellEnd"/>
      <w:r w:rsidRPr="00697704">
        <w:t xml:space="preserve">, M. M., </w:t>
      </w:r>
      <w:proofErr w:type="spellStart"/>
      <w:r w:rsidRPr="00697704">
        <w:t>Rashidi</w:t>
      </w:r>
      <w:proofErr w:type="spellEnd"/>
      <w:r w:rsidRPr="00697704">
        <w:t xml:space="preserve"> </w:t>
      </w:r>
      <w:proofErr w:type="spellStart"/>
      <w:r w:rsidRPr="00697704">
        <w:t>Fard</w:t>
      </w:r>
      <w:proofErr w:type="spellEnd"/>
      <w:r w:rsidRPr="00697704">
        <w:t xml:space="preserve">, M., &amp; </w:t>
      </w:r>
      <w:proofErr w:type="spellStart"/>
      <w:r w:rsidRPr="00697704">
        <w:t>Riahi</w:t>
      </w:r>
      <w:proofErr w:type="spellEnd"/>
      <w:r w:rsidRPr="00697704">
        <w:t xml:space="preserve">, M. A. (2019). </w:t>
      </w:r>
      <w:r w:rsidRPr="00697704">
        <w:rPr>
          <w:lang w:val="en-US"/>
        </w:rPr>
        <w:t xml:space="preserve">Estimation of in situ anisotropy parameters from two perpendicular walkaway VSP lines in South Pars field. </w:t>
      </w:r>
      <w:r w:rsidRPr="00697704">
        <w:rPr>
          <w:i/>
          <w:iCs/>
          <w:lang w:val="en-US"/>
        </w:rPr>
        <w:t>Journal of Geophysics and Engineering</w:t>
      </w:r>
      <w:r w:rsidRPr="00697704">
        <w:rPr>
          <w:lang w:val="en-US"/>
        </w:rPr>
        <w:t xml:space="preserve">, 16(5), 926–938. https://doi.org/10.1093/jge/gxz056 (Modern application that compares the </w:t>
      </w:r>
      <w:proofErr w:type="spellStart"/>
      <w:r w:rsidRPr="00697704">
        <w:rPr>
          <w:lang w:val="en-US"/>
        </w:rPr>
        <w:t>Grechka</w:t>
      </w:r>
      <w:proofErr w:type="spellEnd"/>
      <w:r w:rsidRPr="00697704">
        <w:rPr>
          <w:lang w:val="en-US"/>
        </w:rPr>
        <w:t>–Mateeva weak-anisotropy approximation to the exact Christoffel solution.)</w:t>
      </w:r>
    </w:p>
    <w:p w14:paraId="09B253E1" w14:textId="77777777" w:rsidR="00697704" w:rsidRPr="00697704" w:rsidRDefault="00697704" w:rsidP="00697704">
      <w:pPr>
        <w:numPr>
          <w:ilvl w:val="0"/>
          <w:numId w:val="3"/>
        </w:numPr>
        <w:rPr>
          <w:lang w:val="en-US"/>
        </w:rPr>
      </w:pPr>
      <w:r w:rsidRPr="00697704">
        <w:rPr>
          <w:lang w:val="en-US"/>
        </w:rPr>
        <w:t xml:space="preserve">Danek, T., </w:t>
      </w:r>
      <w:proofErr w:type="spellStart"/>
      <w:r w:rsidRPr="00697704">
        <w:rPr>
          <w:lang w:val="en-US"/>
        </w:rPr>
        <w:t>Pasternacki</w:t>
      </w:r>
      <w:proofErr w:type="spellEnd"/>
      <w:r w:rsidRPr="00697704">
        <w:rPr>
          <w:lang w:val="en-US"/>
        </w:rPr>
        <w:t xml:space="preserve">, A., &amp; Leśniak, A. (2018). VSP polarization angles determination: Wysin-1 processing case study. </w:t>
      </w:r>
      <w:r w:rsidRPr="00697704">
        <w:rPr>
          <w:i/>
          <w:iCs/>
          <w:lang w:val="en-US"/>
        </w:rPr>
        <w:t xml:space="preserve">Acta </w:t>
      </w:r>
      <w:proofErr w:type="spellStart"/>
      <w:r w:rsidRPr="00697704">
        <w:rPr>
          <w:i/>
          <w:iCs/>
          <w:lang w:val="en-US"/>
        </w:rPr>
        <w:t>Geophysica</w:t>
      </w:r>
      <w:proofErr w:type="spellEnd"/>
      <w:r w:rsidRPr="00697704">
        <w:rPr>
          <w:lang w:val="en-US"/>
        </w:rPr>
        <w:t xml:space="preserve">, 66, 1047–1062. (Detailed treatment of the polarization-processing workflow on which </w:t>
      </w:r>
      <w:proofErr w:type="spellStart"/>
      <w:r w:rsidRPr="00697704">
        <w:rPr>
          <w:lang w:val="en-US"/>
        </w:rPr>
        <w:t>Grechka</w:t>
      </w:r>
      <w:proofErr w:type="spellEnd"/>
      <w:r w:rsidRPr="00697704">
        <w:rPr>
          <w:lang w:val="en-US"/>
        </w:rPr>
        <w:t>–Mateeva inversion depends.)</w:t>
      </w:r>
    </w:p>
    <w:p w14:paraId="300C2326" w14:textId="77777777" w:rsidR="00D63F29" w:rsidRPr="00697704" w:rsidRDefault="00D63F29">
      <w:pPr>
        <w:rPr>
          <w:lang w:val="en-US"/>
        </w:rPr>
      </w:pPr>
    </w:p>
    <w:sectPr w:rsidR="00D63F29" w:rsidRPr="006977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B2F49"/>
    <w:multiLevelType w:val="multilevel"/>
    <w:tmpl w:val="9B1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78134B"/>
    <w:multiLevelType w:val="multilevel"/>
    <w:tmpl w:val="9F2C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E240F"/>
    <w:multiLevelType w:val="multilevel"/>
    <w:tmpl w:val="0A5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10927">
    <w:abstractNumId w:val="0"/>
  </w:num>
  <w:num w:numId="2" w16cid:durableId="438257394">
    <w:abstractNumId w:val="1"/>
  </w:num>
  <w:num w:numId="3" w16cid:durableId="1796026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85"/>
    <w:rsid w:val="00320F57"/>
    <w:rsid w:val="00564BC7"/>
    <w:rsid w:val="00697704"/>
    <w:rsid w:val="00AC7B85"/>
    <w:rsid w:val="00BB02F7"/>
    <w:rsid w:val="00D63F2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772E"/>
  <w15:chartTrackingRefBased/>
  <w15:docId w15:val="{FA8EED59-592B-4DE2-8AF1-238BD406C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C7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AC7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C7B8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C7B8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C7B8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C7B8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C7B8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C7B8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C7B8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C7B8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C7B8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C7B8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C7B8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C7B8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C7B8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C7B8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C7B8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C7B85"/>
    <w:rPr>
      <w:rFonts w:eastAsiaTheme="majorEastAsia" w:cstheme="majorBidi"/>
      <w:color w:val="272727" w:themeColor="text1" w:themeTint="D8"/>
    </w:rPr>
  </w:style>
  <w:style w:type="paragraph" w:styleId="Tittel">
    <w:name w:val="Title"/>
    <w:basedOn w:val="Normal"/>
    <w:next w:val="Normal"/>
    <w:link w:val="TittelTegn"/>
    <w:uiPriority w:val="10"/>
    <w:qFormat/>
    <w:rsid w:val="00AC7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C7B8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C7B8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C7B8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C7B8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C7B85"/>
    <w:rPr>
      <w:i/>
      <w:iCs/>
      <w:color w:val="404040" w:themeColor="text1" w:themeTint="BF"/>
    </w:rPr>
  </w:style>
  <w:style w:type="paragraph" w:styleId="Listeavsnitt">
    <w:name w:val="List Paragraph"/>
    <w:basedOn w:val="Normal"/>
    <w:uiPriority w:val="34"/>
    <w:qFormat/>
    <w:rsid w:val="00AC7B85"/>
    <w:pPr>
      <w:ind w:left="720"/>
      <w:contextualSpacing/>
    </w:pPr>
  </w:style>
  <w:style w:type="character" w:styleId="Sterkutheving">
    <w:name w:val="Intense Emphasis"/>
    <w:basedOn w:val="Standardskriftforavsnitt"/>
    <w:uiPriority w:val="21"/>
    <w:qFormat/>
    <w:rsid w:val="00AC7B85"/>
    <w:rPr>
      <w:i/>
      <w:iCs/>
      <w:color w:val="0F4761" w:themeColor="accent1" w:themeShade="BF"/>
    </w:rPr>
  </w:style>
  <w:style w:type="paragraph" w:styleId="Sterktsitat">
    <w:name w:val="Intense Quote"/>
    <w:basedOn w:val="Normal"/>
    <w:next w:val="Normal"/>
    <w:link w:val="SterktsitatTegn"/>
    <w:uiPriority w:val="30"/>
    <w:qFormat/>
    <w:rsid w:val="00AC7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AC7B85"/>
    <w:rPr>
      <w:i/>
      <w:iCs/>
      <w:color w:val="0F4761" w:themeColor="accent1" w:themeShade="BF"/>
    </w:rPr>
  </w:style>
  <w:style w:type="character" w:styleId="Sterkreferanse">
    <w:name w:val="Intense Reference"/>
    <w:basedOn w:val="Standardskriftforavsnitt"/>
    <w:uiPriority w:val="32"/>
    <w:qFormat/>
    <w:rsid w:val="00AC7B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1914</Words>
  <Characters>11146</Characters>
  <Application>Microsoft Office Word</Application>
  <DocSecurity>0</DocSecurity>
  <Lines>176</Lines>
  <Paragraphs>38</Paragraphs>
  <ScaleCrop>false</ScaleCrop>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Pettersen</dc:creator>
  <cp:keywords/>
  <dc:description/>
  <cp:lastModifiedBy>Inge Pettersen</cp:lastModifiedBy>
  <cp:revision>3</cp:revision>
  <dcterms:created xsi:type="dcterms:W3CDTF">2026-04-26T10:25:00Z</dcterms:created>
  <dcterms:modified xsi:type="dcterms:W3CDTF">2026-04-26T10:29:00Z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c0276558-272c-452e-8160-fa5edcb1a085</vt:lpwstr>
  </property>
</Properties>
</file>