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A5A2" w14:textId="77777777" w:rsidR="00065053" w:rsidRPr="00065053" w:rsidRDefault="00065053" w:rsidP="00065053">
      <w:pPr>
        <w:rPr>
          <w:b/>
          <w:bCs/>
          <w:lang w:val="en-US"/>
        </w:rPr>
      </w:pPr>
      <w:r w:rsidRPr="00065053">
        <w:rPr>
          <w:b/>
          <w:bCs/>
          <w:lang w:val="en-US"/>
        </w:rPr>
        <w:t xml:space="preserve">Review: Tsvankin &amp; Grechka (2011), </w:t>
      </w:r>
      <w:r w:rsidRPr="00065053">
        <w:rPr>
          <w:b/>
          <w:bCs/>
          <w:i/>
          <w:iCs/>
          <w:lang w:val="en-US"/>
        </w:rPr>
        <w:t>Seismology of Azimuthally Anisotropic Media and Seismic Fracture Characterization</w:t>
      </w:r>
    </w:p>
    <w:p w14:paraId="4D5F20D3" w14:textId="77777777" w:rsidR="00065053" w:rsidRPr="00065053" w:rsidRDefault="00065053" w:rsidP="00065053">
      <w:pPr>
        <w:rPr>
          <w:b/>
          <w:bCs/>
          <w:lang w:val="en-US"/>
        </w:rPr>
      </w:pPr>
      <w:r w:rsidRPr="00065053">
        <w:rPr>
          <w:b/>
          <w:bCs/>
          <w:lang w:val="en-US"/>
        </w:rPr>
        <w:t>Context and contribution</w:t>
      </w:r>
    </w:p>
    <w:p w14:paraId="557B2AD9" w14:textId="77777777" w:rsidR="00065053" w:rsidRPr="00065053" w:rsidRDefault="00065053" w:rsidP="00065053">
      <w:pPr>
        <w:rPr>
          <w:lang w:val="en-US"/>
        </w:rPr>
      </w:pPr>
      <w:r w:rsidRPr="00065053">
        <w:rPr>
          <w:lang w:val="en-US"/>
        </w:rPr>
        <w:t xml:space="preserve">This volume — Geophysical References Series No. 17, 480 pages — is the explicit sequel to Tsvankin's earlier monograph </w:t>
      </w:r>
      <w:r w:rsidRPr="00065053">
        <w:rPr>
          <w:i/>
          <w:iCs/>
          <w:lang w:val="en-US"/>
        </w:rPr>
        <w:t>Seismic Signatures and Analysis of Reflection Data in Anisotropic Media</w:t>
      </w:r>
      <w:r w:rsidRPr="00065053">
        <w:rPr>
          <w:lang w:val="en-US"/>
        </w:rPr>
        <w:t xml:space="preserve">.Many of the developments are described in the recent book with Vladimir Grechka (Tsvankin and Grechka, 2011), which essentially represents a sequel to this monograph. Where the 2001/2005/2012 </w:t>
      </w:r>
      <w:r w:rsidRPr="00065053">
        <w:rPr>
          <w:i/>
          <w:iCs/>
          <w:lang w:val="en-US"/>
        </w:rPr>
        <w:t>Seismic Signatures</w:t>
      </w:r>
      <w:r w:rsidRPr="00065053">
        <w:rPr>
          <w:lang w:val="en-US"/>
        </w:rPr>
        <w:t xml:space="preserve"> book is built around vertical and tilted transverse isotropy (VTI/TTI), this one steps down in symmetry: it is devoted to media in which velocities depend on </w:t>
      </w:r>
      <w:r w:rsidRPr="00065053">
        <w:rPr>
          <w:i/>
          <w:iCs/>
          <w:lang w:val="en-US"/>
        </w:rPr>
        <w:t>azimuth</w:t>
      </w:r>
      <w:r w:rsidRPr="00065053">
        <w:rPr>
          <w:lang w:val="en-US"/>
        </w:rPr>
        <w:t>, that is, HTI (single fracture set), orthorhombic (orthogonal fractures or vertical fractures in a VTI background), and lower-symmetry monoclinic and triclinic models that arise when those simple ingredients are combined or rotated. The book consolidates roughly fifteen years of work by the Center for Wave Phenomena group at the Colorado School of Mines and their industry collaborators, and explicitly serves the parameter-estimation side of fractured-reservoir characterization.The book presents a systematic analysis of seismic signatures for azimuthally anisotropic media and describes anisotropic inversion/processing methods for wide-azimuth reflection data and VSP surveys, with the main focus on kinematic parameter-estimation techniques operating with P-waves as well as with the combination of PP and PS data; the part devoted to prestack amplitudes includes azimuthal AVO analysis and a concise treatment of attenuation coefficients.</w:t>
      </w:r>
    </w:p>
    <w:p w14:paraId="7127ABC2" w14:textId="77777777" w:rsidR="00065053" w:rsidRPr="00065053" w:rsidRDefault="00065053" w:rsidP="00065053">
      <w:pPr>
        <w:rPr>
          <w:b/>
          <w:bCs/>
          <w:lang w:val="en-US"/>
        </w:rPr>
      </w:pPr>
      <w:r w:rsidRPr="00065053">
        <w:rPr>
          <w:b/>
          <w:bCs/>
          <w:lang w:val="en-US"/>
        </w:rPr>
        <w:t>Main ideas and structural progression</w:t>
      </w:r>
    </w:p>
    <w:p w14:paraId="19F52505" w14:textId="77777777" w:rsidR="00065053" w:rsidRPr="00065053" w:rsidRDefault="00065053" w:rsidP="00065053">
      <w:pPr>
        <w:rPr>
          <w:lang w:val="en-US"/>
        </w:rPr>
      </w:pPr>
      <w:r w:rsidRPr="00065053">
        <w:rPr>
          <w:b/>
          <w:bCs/>
          <w:lang w:val="en-US"/>
        </w:rPr>
        <w:t>The NMO ellipse and the generalized Dix equation.</w:t>
      </w:r>
      <w:r w:rsidRPr="00065053">
        <w:rPr>
          <w:lang w:val="en-US"/>
        </w:rPr>
        <w:t xml:space="preserve"> Chapter 1 introduces what is probably the book's single most influential theoretical tool: the normal-moveout </w:t>
      </w:r>
      <w:r w:rsidRPr="00065053">
        <w:rPr>
          <w:i/>
          <w:iCs/>
          <w:lang w:val="en-US"/>
        </w:rPr>
        <w:t>ellipse</w:t>
      </w:r>
      <w:r w:rsidRPr="00065053">
        <w:rPr>
          <w:lang w:val="en-US"/>
        </w:rPr>
        <w:t>.Chapter 1: Normal-moveout (NMO) ellipse and generalized Dix equation. In an isotropic earth the NMO velocity from a horizontal reflector is azimuthally invariant; in any azimuthally anisotropic earth it traces out an ellipse whose semi-axes and orientation encode three combinations of the medium parameters and, in many cases, the dominant fracture strike directly. The chapter generalizes Dix-type interval-velocity stripping to the layered azimuthally anisotropic case so that interval NMO ellipses can be peeled off the stack of effective ellipses, exactly as Dix peels interval velocities off RMS velocities in isotropic media. Practically every wide-azimuth fracture-characterization workflow used in industry traces back to this construction — Jenner's trace-correlation NMO-ellipse estimation at Weyburn is a representative early example.Processing and traveltime inversion of wide-azimuth, conventional-spread data is based on the concept of the NMO ellipse and on Dix-type averaging equations for azimuthally anisotropic media; experimental studies confirmed that the orientation of the P-wave NMO ellipse can often serve as an indicator of the dominant fracture direction.</w:t>
      </w:r>
    </w:p>
    <w:p w14:paraId="6C99E7E3" w14:textId="77777777" w:rsidR="00065053" w:rsidRPr="00065053" w:rsidRDefault="00065053" w:rsidP="00065053">
      <w:pPr>
        <w:rPr>
          <w:lang w:val="en-US"/>
        </w:rPr>
      </w:pPr>
      <w:r w:rsidRPr="00065053">
        <w:rPr>
          <w:b/>
          <w:bCs/>
          <w:lang w:val="en-US"/>
        </w:rPr>
        <w:lastRenderedPageBreak/>
        <w:t>Conventional-spread analytic moveout.</w:t>
      </w:r>
      <w:r w:rsidRPr="00065053">
        <w:rPr>
          <w:lang w:val="en-US"/>
        </w:rPr>
        <w:t xml:space="preserve"> A subsequent chapter is devoted to closed-form treatment of CMP moveout in low-symmetry media, motivated by the fact that pure ray tracing is too slow for repeated inversion and too opaque to give physical insight.Whereas anisotropic ray-tracing codes are sufficiently fast for forward modeling, their application in moveout inversion requires repeated generation of azimuthally-dependent traveltimes around many CMP locations, which makes the inversion procedure extremely time-consuming; also, purely numerical solutions do not give insight into the influence of anisotropy on reflection traveltimes. The treatment extends the Tsvankin–Thomsen quartic-moveout machinery to azimuthally anisotropic layers, and culminates in a generalized Alkhalifah–Tsvankin nonhyperbolic moveout equation valid for stacks of horizontal orthorhombic, HTI, and VTI layers, with a quartic coefficient A₄ controlled by three anellipticity parameters </w:t>
      </w:r>
      <w:r w:rsidRPr="00065053">
        <w:t>η</w:t>
      </w:r>
      <w:r w:rsidRPr="00065053">
        <w:rPr>
          <w:rFonts w:ascii="Cambria Math" w:hAnsi="Cambria Math" w:cs="Cambria Math"/>
          <w:lang w:val="en-US"/>
        </w:rPr>
        <w:t>⁽</w:t>
      </w:r>
      <w:r w:rsidRPr="00065053">
        <w:rPr>
          <w:rFonts w:ascii="Aptos" w:hAnsi="Aptos" w:cs="Aptos"/>
          <w:lang w:val="en-US"/>
        </w:rPr>
        <w:t>¹</w:t>
      </w:r>
      <w:r w:rsidRPr="00065053">
        <w:rPr>
          <w:rFonts w:ascii="Cambria Math" w:hAnsi="Cambria Math" w:cs="Cambria Math"/>
          <w:lang w:val="en-US"/>
        </w:rPr>
        <w:t>⁾</w:t>
      </w:r>
      <w:r w:rsidRPr="00065053">
        <w:rPr>
          <w:lang w:val="en-US"/>
        </w:rPr>
        <w:t xml:space="preserve">, </w:t>
      </w:r>
      <w:r w:rsidRPr="00065053">
        <w:rPr>
          <w:rFonts w:ascii="Aptos" w:hAnsi="Aptos" w:cs="Aptos"/>
        </w:rPr>
        <w:t>η</w:t>
      </w:r>
      <w:r w:rsidRPr="00065053">
        <w:rPr>
          <w:rFonts w:ascii="Cambria Math" w:hAnsi="Cambria Math" w:cs="Cambria Math"/>
          <w:lang w:val="en-US"/>
        </w:rPr>
        <w:t>⁽</w:t>
      </w:r>
      <w:r w:rsidRPr="00065053">
        <w:rPr>
          <w:rFonts w:ascii="Aptos" w:hAnsi="Aptos" w:cs="Aptos"/>
          <w:lang w:val="en-US"/>
        </w:rPr>
        <w:t>²</w:t>
      </w:r>
      <w:r w:rsidRPr="00065053">
        <w:rPr>
          <w:rFonts w:ascii="Cambria Math" w:hAnsi="Cambria Math" w:cs="Cambria Math"/>
          <w:lang w:val="en-US"/>
        </w:rPr>
        <w:t>⁾</w:t>
      </w:r>
      <w:r w:rsidRPr="00065053">
        <w:rPr>
          <w:lang w:val="en-US"/>
        </w:rPr>
        <w:t xml:space="preserve">, </w:t>
      </w:r>
      <w:r w:rsidRPr="00065053">
        <w:rPr>
          <w:rFonts w:ascii="Aptos" w:hAnsi="Aptos" w:cs="Aptos"/>
        </w:rPr>
        <w:t>η</w:t>
      </w:r>
      <w:r w:rsidRPr="00065053">
        <w:rPr>
          <w:rFonts w:ascii="Cambria Math" w:hAnsi="Cambria Math" w:cs="Cambria Math"/>
          <w:lang w:val="en-US"/>
        </w:rPr>
        <w:t>⁽</w:t>
      </w:r>
      <w:r w:rsidRPr="00065053">
        <w:rPr>
          <w:rFonts w:ascii="Aptos" w:hAnsi="Aptos" w:cs="Aptos"/>
          <w:lang w:val="en-US"/>
        </w:rPr>
        <w:t>³</w:t>
      </w:r>
      <w:r w:rsidRPr="00065053">
        <w:rPr>
          <w:rFonts w:ascii="Cambria Math" w:hAnsi="Cambria Math" w:cs="Cambria Math"/>
          <w:lang w:val="en-US"/>
        </w:rPr>
        <w:t>⁾</w:t>
      </w:r>
      <w:r w:rsidRPr="00065053">
        <w:rPr>
          <w:lang w:val="en-US"/>
        </w:rPr>
        <w:t>.The azimuthal variation of A</w:t>
      </w:r>
      <w:r w:rsidRPr="00065053">
        <w:rPr>
          <w:rFonts w:ascii="Aptos" w:hAnsi="Aptos" w:cs="Aptos"/>
          <w:lang w:val="en-US"/>
        </w:rPr>
        <w:t>₄</w:t>
      </w:r>
      <w:r w:rsidRPr="00065053">
        <w:rPr>
          <w:lang w:val="en-US"/>
        </w:rPr>
        <w:t xml:space="preserve"> for an orthorhombic layer can have multiple lobes and is controlled by the anellipticity parameters </w:t>
      </w:r>
      <w:r w:rsidRPr="00065053">
        <w:t>η</w:t>
      </w:r>
      <w:r w:rsidRPr="00065053">
        <w:rPr>
          <w:rFonts w:ascii="Cambria Math" w:hAnsi="Cambria Math" w:cs="Cambria Math"/>
          <w:lang w:val="en-US"/>
        </w:rPr>
        <w:t>⁽</w:t>
      </w:r>
      <w:r w:rsidRPr="00065053">
        <w:rPr>
          <w:rFonts w:ascii="Aptos" w:hAnsi="Aptos" w:cs="Aptos"/>
          <w:lang w:val="en-US"/>
        </w:rPr>
        <w:t>¹</w:t>
      </w:r>
      <w:r w:rsidRPr="00065053">
        <w:rPr>
          <w:rFonts w:ascii="Cambria Math" w:hAnsi="Cambria Math" w:cs="Cambria Math"/>
          <w:lang w:val="en-US"/>
        </w:rPr>
        <w:t>⁾</w:t>
      </w:r>
      <w:r w:rsidRPr="00065053">
        <w:rPr>
          <w:lang w:val="en-US"/>
        </w:rPr>
        <w:t xml:space="preserve">, </w:t>
      </w:r>
      <w:r w:rsidRPr="00065053">
        <w:rPr>
          <w:rFonts w:ascii="Aptos" w:hAnsi="Aptos" w:cs="Aptos"/>
        </w:rPr>
        <w:t>η</w:t>
      </w:r>
      <w:r w:rsidRPr="00065053">
        <w:rPr>
          <w:rFonts w:ascii="Cambria Math" w:hAnsi="Cambria Math" w:cs="Cambria Math"/>
          <w:lang w:val="en-US"/>
        </w:rPr>
        <w:t>⁽</w:t>
      </w:r>
      <w:r w:rsidRPr="00065053">
        <w:rPr>
          <w:rFonts w:ascii="Aptos" w:hAnsi="Aptos" w:cs="Aptos"/>
          <w:lang w:val="en-US"/>
        </w:rPr>
        <w:t>²</w:t>
      </w:r>
      <w:r w:rsidRPr="00065053">
        <w:rPr>
          <w:rFonts w:ascii="Cambria Math" w:hAnsi="Cambria Math" w:cs="Cambria Math"/>
          <w:lang w:val="en-US"/>
        </w:rPr>
        <w:t>⁾</w:t>
      </w:r>
      <w:r w:rsidRPr="00065053">
        <w:rPr>
          <w:lang w:val="en-US"/>
        </w:rPr>
        <w:t xml:space="preserve">, and </w:t>
      </w:r>
      <w:r w:rsidRPr="00065053">
        <w:rPr>
          <w:rFonts w:ascii="Aptos" w:hAnsi="Aptos" w:cs="Aptos"/>
        </w:rPr>
        <w:t>η</w:t>
      </w:r>
      <w:r w:rsidRPr="00065053">
        <w:rPr>
          <w:rFonts w:ascii="Cambria Math" w:hAnsi="Cambria Math" w:cs="Cambria Math"/>
          <w:lang w:val="en-US"/>
        </w:rPr>
        <w:t>⁽</w:t>
      </w:r>
      <w:r w:rsidRPr="00065053">
        <w:rPr>
          <w:rFonts w:ascii="Aptos" w:hAnsi="Aptos" w:cs="Aptos"/>
          <w:lang w:val="en-US"/>
        </w:rPr>
        <w:t>³</w:t>
      </w:r>
      <w:r w:rsidRPr="00065053">
        <w:rPr>
          <w:rFonts w:ascii="Cambria Math" w:hAnsi="Cambria Math" w:cs="Cambria Math"/>
          <w:lang w:val="en-US"/>
        </w:rPr>
        <w:t>⁾</w:t>
      </w:r>
      <w:r w:rsidRPr="00065053">
        <w:rPr>
          <w:lang w:val="en-US"/>
        </w:rPr>
        <w:t>; a highly accurate traveltime approximation for models composed of horizontal orthorhombic, HTI, and VTI layers is provided by the generalized version of the Alkhalifah-Tsvankin nonhyperbolic moveout equation.</w:t>
      </w:r>
    </w:p>
    <w:p w14:paraId="6761DCB5" w14:textId="77777777" w:rsidR="00065053" w:rsidRPr="00065053" w:rsidRDefault="00065053" w:rsidP="00065053">
      <w:pPr>
        <w:rPr>
          <w:lang w:val="en-US"/>
        </w:rPr>
      </w:pPr>
      <w:r w:rsidRPr="00065053">
        <w:rPr>
          <w:b/>
          <w:bCs/>
          <w:lang w:val="en-US"/>
        </w:rPr>
        <w:t>Parameter estimation for azimuthally anisotropic media.</w:t>
      </w:r>
      <w:r w:rsidRPr="00065053">
        <w:rPr>
          <w:lang w:val="en-US"/>
        </w:rPr>
        <w:t xml:space="preserve"> The middle chapters work systematically up the symmetry hierarchy. For HTI — the simplest effective model of a single vertical fracture set — the NMO ellipse from a horizontal reflector recovers the symmetry-axis azimuth, the vertical P velocity, and the Tsvankin-style parameter </w:t>
      </w:r>
      <w:r w:rsidRPr="00065053">
        <w:t>δ</w:t>
      </w:r>
      <w:r w:rsidRPr="00065053">
        <w:rPr>
          <w:rFonts w:ascii="Cambria Math" w:hAnsi="Cambria Math" w:cs="Cambria Math"/>
          <w:lang w:val="en-US"/>
        </w:rPr>
        <w:t>⁽</w:t>
      </w:r>
      <w:r w:rsidRPr="00065053">
        <w:rPr>
          <w:rFonts w:ascii="Cambria Math" w:hAnsi="Cambria Math" w:cs="Cambria Math"/>
        </w:rPr>
        <w:t>ⱽ</w:t>
      </w:r>
      <w:r w:rsidRPr="00065053">
        <w:rPr>
          <w:rFonts w:ascii="Cambria Math" w:hAnsi="Cambria Math" w:cs="Cambria Math"/>
          <w:lang w:val="en-US"/>
        </w:rPr>
        <w:t>⁾</w:t>
      </w:r>
      <w:r w:rsidRPr="00065053">
        <w:rPr>
          <w:lang w:val="en-US"/>
        </w:rPr>
        <w:t xml:space="preserve">, while the second P-wave parameter </w:t>
      </w:r>
      <w:r w:rsidRPr="00065053">
        <w:rPr>
          <w:rFonts w:ascii="Aptos" w:hAnsi="Aptos" w:cs="Aptos"/>
        </w:rPr>
        <w:t>η</w:t>
      </w:r>
      <w:r w:rsidRPr="00065053">
        <w:rPr>
          <w:rFonts w:ascii="Cambria Math" w:hAnsi="Cambria Math" w:cs="Cambria Math"/>
          <w:lang w:val="en-US"/>
        </w:rPr>
        <w:t>⁽</w:t>
      </w:r>
      <w:r w:rsidRPr="00065053">
        <w:rPr>
          <w:rFonts w:ascii="Cambria Math" w:hAnsi="Cambria Math" w:cs="Cambria Math"/>
        </w:rPr>
        <w:t>ⱽ</w:t>
      </w:r>
      <w:r w:rsidRPr="00065053">
        <w:rPr>
          <w:rFonts w:ascii="Cambria Math" w:hAnsi="Cambria Math" w:cs="Cambria Math"/>
          <w:lang w:val="en-US"/>
        </w:rPr>
        <w:t>⁾</w:t>
      </w:r>
      <w:r w:rsidRPr="00065053">
        <w:rPr>
          <w:lang w:val="en-US"/>
        </w:rPr>
        <w:t xml:space="preserve"> (or equivalently </w:t>
      </w:r>
      <w:r w:rsidRPr="00065053">
        <w:rPr>
          <w:rFonts w:ascii="Aptos" w:hAnsi="Aptos" w:cs="Aptos"/>
        </w:rPr>
        <w:t>ε</w:t>
      </w:r>
      <w:r w:rsidRPr="00065053">
        <w:rPr>
          <w:rFonts w:ascii="Cambria Math" w:hAnsi="Cambria Math" w:cs="Cambria Math"/>
          <w:lang w:val="en-US"/>
        </w:rPr>
        <w:t>⁽</w:t>
      </w:r>
      <w:r w:rsidRPr="00065053">
        <w:rPr>
          <w:rFonts w:ascii="Cambria Math" w:hAnsi="Cambria Math" w:cs="Cambria Math"/>
        </w:rPr>
        <w:t>ⱽ</w:t>
      </w:r>
      <w:r w:rsidRPr="00065053">
        <w:rPr>
          <w:rFonts w:ascii="Cambria Math" w:hAnsi="Cambria Math" w:cs="Cambria Math"/>
          <w:lang w:val="en-US"/>
        </w:rPr>
        <w:t>⁾</w:t>
      </w:r>
      <w:r w:rsidRPr="00065053">
        <w:rPr>
          <w:lang w:val="en-US"/>
        </w:rPr>
        <w:t xml:space="preserve">) is recovered from the NMO ellipse of a </w:t>
      </w:r>
      <w:r w:rsidRPr="00065053">
        <w:rPr>
          <w:i/>
          <w:iCs/>
          <w:lang w:val="en-US"/>
        </w:rPr>
        <w:t>dipping</w:t>
      </w:r>
      <w:r w:rsidRPr="00065053">
        <w:rPr>
          <w:lang w:val="en-US"/>
        </w:rPr>
        <w:t xml:space="preserve"> reflector at arbitrary orientation (Contreras et al., 1999). For orthorhombic media the same logic is extended to the joint inversion of moveout from horizontal and dipping reflectors (Grechka &amp; Tsvankin, 1999), or to nonhyperbolic moveout (Vasconcelos &amp; Tsvankin, 2006). The book emphasizes a recurring practical message: </w:t>
      </w:r>
      <w:r w:rsidRPr="00065053">
        <w:rPr>
          <w:b/>
          <w:bCs/>
          <w:lang w:val="en-US"/>
        </w:rPr>
        <w:t>dipping reflectors break the azimuthal degeneracy</w:t>
      </w:r>
      <w:r w:rsidRPr="00065053">
        <w:rPr>
          <w:lang w:val="en-US"/>
        </w:rPr>
        <w:t xml:space="preserve"> that makes </w:t>
      </w:r>
      <w:r w:rsidRPr="00065053">
        <w:t>ε</w:t>
      </w:r>
      <w:r w:rsidRPr="00065053">
        <w:rPr>
          <w:lang w:val="en-US"/>
        </w:rPr>
        <w:t xml:space="preserve">-type parameters ambiguous from horizontal-reflector data alone, and </w:t>
      </w:r>
      <w:r w:rsidRPr="00065053">
        <w:rPr>
          <w:b/>
          <w:bCs/>
          <w:lang w:val="en-US"/>
        </w:rPr>
        <w:t>PS data are often the only feasible way to invert for vertical velocity and depth simultaneously</w:t>
      </w:r>
      <w:r w:rsidRPr="00065053">
        <w:rPr>
          <w:lang w:val="en-US"/>
        </w:rPr>
        <w:t>, an idea formalized in the authors' earlier "PP + PS = SS" construction.</w:t>
      </w:r>
    </w:p>
    <w:p w14:paraId="305D05AA" w14:textId="77777777" w:rsidR="00065053" w:rsidRPr="00065053" w:rsidRDefault="00065053" w:rsidP="00065053">
      <w:pPr>
        <w:rPr>
          <w:lang w:val="en-US"/>
        </w:rPr>
      </w:pPr>
      <w:r w:rsidRPr="00065053">
        <w:rPr>
          <w:b/>
          <w:bCs/>
          <w:lang w:val="en-US"/>
        </w:rPr>
        <w:t>Effective-medium theory for fractures.</w:t>
      </w:r>
      <w:r w:rsidRPr="00065053">
        <w:rPr>
          <w:lang w:val="en-US"/>
        </w:rPr>
        <w:t xml:space="preserve"> A substantial part of the book is devoted not to seismic processing but to the rock physics that connects the inverted Thomsen-style anisotropy parameters back to fractures. The treatment compares Schoenberg's linear-slip theory, Hudson's penny-shaped-crack theory, and Kachanov's non-interaction approximation, with the practical conclusion that linear-slip and Kachanov frameworks remain physically reasonable at high fracture densities while Hudson's theory loses precision.When the fracture density increases, Schoenberg's theory maintains a consistent behaviour with the physical problem, while Hudson's theory loses precision; Kachanov's theory starts from the same theoretical foundation as Schoenberg's, but it gives a direct relationship of the fractures' structural characteristics. A novel result, repeatedly cited since, is that originally isotropic rock containing realistic (i.e., not </w:t>
      </w:r>
      <w:r w:rsidRPr="00065053">
        <w:rPr>
          <w:lang w:val="en-US"/>
        </w:rPr>
        <w:lastRenderedPageBreak/>
        <w:t xml:space="preserve">perfectly aligned, not perfectly identical) fracture sets is effectively </w:t>
      </w:r>
      <w:r w:rsidRPr="00065053">
        <w:rPr>
          <w:i/>
          <w:iCs/>
          <w:lang w:val="en-US"/>
        </w:rPr>
        <w:t>orthorhombic</w:t>
      </w:r>
      <w:r w:rsidRPr="00065053">
        <w:rPr>
          <w:lang w:val="en-US"/>
        </w:rPr>
        <w:t xml:space="preserve"> rather than HTI — so HTI is in many cases an oversimplification even of the simplest geological situation.</w:t>
      </w:r>
    </w:p>
    <w:p w14:paraId="7BAF1289" w14:textId="77777777" w:rsidR="00065053" w:rsidRPr="00065053" w:rsidRDefault="00065053" w:rsidP="00065053">
      <w:pPr>
        <w:rPr>
          <w:lang w:val="en-US"/>
        </w:rPr>
      </w:pPr>
      <w:r w:rsidRPr="00065053">
        <w:rPr>
          <w:b/>
          <w:bCs/>
          <w:lang w:val="en-US"/>
        </w:rPr>
        <w:t>Wide-azimuth AVO and attenuation.</w:t>
      </w:r>
      <w:r w:rsidRPr="00065053">
        <w:rPr>
          <w:lang w:val="en-US"/>
        </w:rPr>
        <w:t xml:space="preserve"> Reflection amplitudes in an HTI or orthorhombic medium vary with both offset and azimuth (AVAZ). The book develops the linearized azimuthal-AVO equations of Rüger and Tsvankin and shows how the azimuthal variation of the AVO gradient maps to fracture compliances and, through Bakulin–Grechka–Tsvankin theory, to dimensionless fracture-weakness parameters that can be related to crack density and saturating-fluid type. A concise treatment of attenuation anisotropy, with the Q-Thomsen-style coefficients, closes the amplitude side.</w:t>
      </w:r>
    </w:p>
    <w:p w14:paraId="0667126D" w14:textId="77777777" w:rsidR="00065053" w:rsidRPr="00065053" w:rsidRDefault="00065053" w:rsidP="00065053">
      <w:pPr>
        <w:rPr>
          <w:lang w:val="en-US"/>
        </w:rPr>
      </w:pPr>
      <w:r w:rsidRPr="00065053">
        <w:rPr>
          <w:b/>
          <w:bCs/>
          <w:lang w:val="en-US"/>
        </w:rPr>
        <w:t>VSP and multicomponent inversion.</w:t>
      </w:r>
      <w:r w:rsidRPr="00065053">
        <w:rPr>
          <w:lang w:val="en-US"/>
        </w:rPr>
        <w:t xml:space="preserve"> A distinguishing feature of this book versus the </w:t>
      </w:r>
      <w:r w:rsidRPr="00065053">
        <w:rPr>
          <w:i/>
          <w:iCs/>
          <w:lang w:val="en-US"/>
        </w:rPr>
        <w:t>Seismic Signatures</w:t>
      </w:r>
      <w:r w:rsidRPr="00065053">
        <w:rPr>
          <w:lang w:val="en-US"/>
        </w:rPr>
        <w:t xml:space="preserve"> monograph is the treatment of borehole-recording geometries. Walkaway-VSP and multi-azimuth, multicomponent VSP inversions for the full local stiffness tensor are developed, with the Vacuum Field, New Mexico, multi-azimuth multicomponent VSP serving as the canonical case study (DeVault et al., 2002; Grechka &amp; Mateeva, 2007). The methodology recovers an azimuthally rotated orthorhombic model at the receiver level, and is the foundation for the Grechka slowness-polarization VSP inversion that has since become a standard.</w:t>
      </w:r>
    </w:p>
    <w:p w14:paraId="3B3A8E6E" w14:textId="77777777" w:rsidR="00065053" w:rsidRPr="00065053" w:rsidRDefault="00065053" w:rsidP="00065053">
      <w:pPr>
        <w:rPr>
          <w:lang w:val="en-US"/>
        </w:rPr>
      </w:pPr>
      <w:r w:rsidRPr="00065053">
        <w:rPr>
          <w:b/>
          <w:bCs/>
          <w:lang w:val="en-US"/>
        </w:rPr>
        <w:t>Microseismic and time-lapse extensions.</w:t>
      </w:r>
      <w:r w:rsidRPr="00065053">
        <w:rPr>
          <w:lang w:val="en-US"/>
        </w:rPr>
        <w:t xml:space="preserve"> A closing part of the book points toward applications in microseismic monitoring of hydraulic fracturing — emphasizing that accurate event location and fracture mapping require building velocity models with at least orthorhombic and sometimes monoclinic layers — and in time-lapse seismic where stress-induced anisotropy changes carry the signal of pressure depletion.It has been shown that accurate location of microseismic events and delineation of hydraulic fractures is impossible without taking anisotropy into account and building velocity models that typically include low-symmetry layers (Tsvankin and Grechka 2011; Grechka and Yaskevich 2013; Grechka and Heigl 2017).</w:t>
      </w:r>
    </w:p>
    <w:p w14:paraId="5076D997" w14:textId="77777777" w:rsidR="00065053" w:rsidRPr="00065053" w:rsidRDefault="00065053" w:rsidP="00065053">
      <w:pPr>
        <w:rPr>
          <w:b/>
          <w:bCs/>
          <w:lang w:val="en-US"/>
        </w:rPr>
      </w:pPr>
      <w:r w:rsidRPr="00065053">
        <w:rPr>
          <w:b/>
          <w:bCs/>
          <w:lang w:val="en-US"/>
        </w:rPr>
        <w:t>Significance and limitations</w:t>
      </w:r>
    </w:p>
    <w:p w14:paraId="7A866891" w14:textId="77777777" w:rsidR="00065053" w:rsidRPr="00065053" w:rsidRDefault="00065053" w:rsidP="00065053">
      <w:pPr>
        <w:rPr>
          <w:lang w:val="en-US"/>
        </w:rPr>
      </w:pPr>
      <w:r w:rsidRPr="00065053">
        <w:rPr>
          <w:lang w:val="en-US"/>
        </w:rPr>
        <w:t xml:space="preserve">The book's enduring value is twofold. As a </w:t>
      </w:r>
      <w:r w:rsidRPr="00065053">
        <w:rPr>
          <w:i/>
          <w:iCs/>
          <w:lang w:val="en-US"/>
        </w:rPr>
        <w:t>reference</w:t>
      </w:r>
      <w:r w:rsidRPr="00065053">
        <w:rPr>
          <w:lang w:val="en-US"/>
        </w:rPr>
        <w:t xml:space="preserve"> it consolidates the Tsvankin–Grechka–Bakulin–Pech–Vasconcelos series of </w:t>
      </w:r>
      <w:r w:rsidRPr="00065053">
        <w:rPr>
          <w:i/>
          <w:iCs/>
          <w:lang w:val="en-US"/>
        </w:rPr>
        <w:t>Geophysics</w:t>
      </w:r>
      <w:r w:rsidRPr="00065053">
        <w:rPr>
          <w:lang w:val="en-US"/>
        </w:rPr>
        <w:t xml:space="preserve"> papers from roughly 1996 to 2010 into a single notation and a single line of argument, replacing what was previously a scattered literature with a coherent text. As a </w:t>
      </w:r>
      <w:r w:rsidRPr="00065053">
        <w:rPr>
          <w:i/>
          <w:iCs/>
          <w:lang w:val="en-US"/>
        </w:rPr>
        <w:t>framework</w:t>
      </w:r>
      <w:r w:rsidRPr="00065053">
        <w:rPr>
          <w:lang w:val="en-US"/>
        </w:rPr>
        <w:t xml:space="preserve"> it argues — convincingly, in retrospect — that orthorhombic, not HTI, is the correct first-order model for fractured reservoirs, and that wide-azimuth acquisition with a mix of horizontal and dipping reflectors is what makes parameter estimation well-posed.</w:t>
      </w:r>
    </w:p>
    <w:p w14:paraId="11668667" w14:textId="77777777" w:rsidR="00065053" w:rsidRPr="00065053" w:rsidRDefault="00065053" w:rsidP="00065053">
      <w:pPr>
        <w:rPr>
          <w:lang w:val="en-US"/>
        </w:rPr>
      </w:pPr>
      <w:r w:rsidRPr="00065053">
        <w:rPr>
          <w:lang w:val="en-US"/>
        </w:rPr>
        <w:t xml:space="preserve">Three limitations are worth noting. First, the treatment is overwhelmingly </w:t>
      </w:r>
      <w:r w:rsidRPr="00065053">
        <w:rPr>
          <w:i/>
          <w:iCs/>
          <w:lang w:val="en-US"/>
        </w:rPr>
        <w:t>kinematic</w:t>
      </w:r>
      <w:r w:rsidRPr="00065053">
        <w:rPr>
          <w:lang w:val="en-US"/>
        </w:rPr>
        <w:t xml:space="preserve">: full-waveform inversion in azimuthally anisotropic media is mentioned but not developed, and that is now the area of most rapid progress (e.g., Jarillo Michel &amp; Tsvankin's later VTI </w:t>
      </w:r>
      <w:r w:rsidRPr="00065053">
        <w:rPr>
          <w:lang w:val="en-US"/>
        </w:rPr>
        <w:lastRenderedPageBreak/>
        <w:t xml:space="preserve">FWI work). Second, the book predates the routine use of fiber-optic / DAS borehole acquisition, which has changed the cost-benefit balance of azimuthally anisotropic VSP geometries since. Third, attenuation anisotropy is treated more concisely than the kinematic and amplitude topics, despite being increasingly important for unconventional reservoirs. For these advanced topics readers should pair this book with the subsequent SEG monograph by Grechka &amp; Heigl (2017), </w:t>
      </w:r>
      <w:r w:rsidRPr="00065053">
        <w:rPr>
          <w:i/>
          <w:iCs/>
          <w:lang w:val="en-US"/>
        </w:rPr>
        <w:t>Microseismic Monitoring</w:t>
      </w:r>
      <w:r w:rsidRPr="00065053">
        <w:rPr>
          <w:lang w:val="en-US"/>
        </w:rPr>
        <w:t xml:space="preserve">, and with the special-issue literature in </w:t>
      </w:r>
      <w:r w:rsidRPr="00065053">
        <w:rPr>
          <w:i/>
          <w:iCs/>
          <w:lang w:val="en-US"/>
        </w:rPr>
        <w:t>Geophysical Prospecting</w:t>
      </w:r>
      <w:r w:rsidRPr="00065053">
        <w:rPr>
          <w:lang w:val="en-US"/>
        </w:rPr>
        <w:t xml:space="preserve"> and </w:t>
      </w:r>
      <w:r w:rsidRPr="00065053">
        <w:rPr>
          <w:i/>
          <w:iCs/>
          <w:lang w:val="en-US"/>
        </w:rPr>
        <w:t>Geophysics</w:t>
      </w:r>
      <w:r w:rsidRPr="00065053">
        <w:rPr>
          <w:lang w:val="en-US"/>
        </w:rPr>
        <w:t>.</w:t>
      </w:r>
    </w:p>
    <w:p w14:paraId="253EDD7C" w14:textId="77777777" w:rsidR="00065053" w:rsidRPr="00065053" w:rsidRDefault="00065053" w:rsidP="00065053">
      <w:pPr>
        <w:rPr>
          <w:b/>
          <w:bCs/>
        </w:rPr>
      </w:pPr>
      <w:r w:rsidRPr="00065053">
        <w:rPr>
          <w:b/>
          <w:bCs/>
        </w:rPr>
        <w:t>References</w:t>
      </w:r>
    </w:p>
    <w:p w14:paraId="77C39D22" w14:textId="77777777" w:rsidR="00065053" w:rsidRPr="00065053" w:rsidRDefault="00065053" w:rsidP="00065053">
      <w:pPr>
        <w:numPr>
          <w:ilvl w:val="0"/>
          <w:numId w:val="1"/>
        </w:numPr>
      </w:pPr>
      <w:r w:rsidRPr="00065053">
        <w:rPr>
          <w:lang w:val="en-US"/>
        </w:rPr>
        <w:t xml:space="preserve">Tsvankin, I., &amp; Grechka, V. (2011). </w:t>
      </w:r>
      <w:r w:rsidRPr="00065053">
        <w:rPr>
          <w:i/>
          <w:iCs/>
          <w:lang w:val="en-US"/>
        </w:rPr>
        <w:t>Seismology of Azimuthally Anisotropic Media and Seismic Fracture Characterization</w:t>
      </w:r>
      <w:r w:rsidRPr="00065053">
        <w:rPr>
          <w:lang w:val="en-US"/>
        </w:rPr>
        <w:t xml:space="preserve">. Geophysical References Series No. 17. Tulsa, OK: Society of Exploration Geophysicists. </w:t>
      </w:r>
      <w:r w:rsidRPr="00065053">
        <w:t>ISBN 978-1-56080-228-0. https://library.seg.org/doi/book/10.1190/1.9781560802884</w:t>
      </w:r>
    </w:p>
    <w:p w14:paraId="26701F4F" w14:textId="77777777" w:rsidR="00065053" w:rsidRPr="00065053" w:rsidRDefault="00065053" w:rsidP="00065053">
      <w:pPr>
        <w:numPr>
          <w:ilvl w:val="0"/>
          <w:numId w:val="1"/>
        </w:numPr>
        <w:rPr>
          <w:lang w:val="en-US"/>
        </w:rPr>
      </w:pPr>
      <w:r w:rsidRPr="00065053">
        <w:rPr>
          <w:lang w:val="en-US"/>
        </w:rPr>
        <w:t xml:space="preserve">Tsvankin, I. (2012). </w:t>
      </w:r>
      <w:r w:rsidRPr="00065053">
        <w:rPr>
          <w:i/>
          <w:iCs/>
          <w:lang w:val="en-US"/>
        </w:rPr>
        <w:t>Seismic Signatures and Analysis of Reflection Data in Anisotropic Media</w:t>
      </w:r>
      <w:r w:rsidRPr="00065053">
        <w:rPr>
          <w:lang w:val="en-US"/>
        </w:rPr>
        <w:t xml:space="preserve"> (3rd ed.). Geophysical References Series No. 19. Tulsa, OK: SEG. (The companion VTI/TTI volume.)</w:t>
      </w:r>
    </w:p>
    <w:p w14:paraId="366DDA37" w14:textId="77777777" w:rsidR="00065053" w:rsidRPr="00065053" w:rsidRDefault="00065053" w:rsidP="00065053">
      <w:pPr>
        <w:numPr>
          <w:ilvl w:val="0"/>
          <w:numId w:val="1"/>
        </w:numPr>
      </w:pPr>
      <w:r w:rsidRPr="00065053">
        <w:rPr>
          <w:lang w:val="en-US"/>
        </w:rPr>
        <w:t xml:space="preserve">Grechka, V., &amp; Tsvankin, I. (1998). 3-D description of normal moveout in anisotropic inhomogeneous media. </w:t>
      </w:r>
      <w:r w:rsidRPr="00065053">
        <w:rPr>
          <w:i/>
          <w:iCs/>
        </w:rPr>
        <w:t>Geophysics</w:t>
      </w:r>
      <w:r w:rsidRPr="00065053">
        <w:t>, 63, 1079–1092.</w:t>
      </w:r>
    </w:p>
    <w:p w14:paraId="2F593285" w14:textId="77777777" w:rsidR="00065053" w:rsidRPr="00065053" w:rsidRDefault="00065053" w:rsidP="00065053">
      <w:pPr>
        <w:numPr>
          <w:ilvl w:val="0"/>
          <w:numId w:val="1"/>
        </w:numPr>
      </w:pPr>
      <w:r w:rsidRPr="00065053">
        <w:rPr>
          <w:lang w:val="en-US"/>
        </w:rPr>
        <w:t xml:space="preserve">Grechka, V., &amp; Tsvankin, I. (1999). 3-D moveout velocity analysis and parameter estimation for orthorhombic media. </w:t>
      </w:r>
      <w:r w:rsidRPr="00065053">
        <w:rPr>
          <w:i/>
          <w:iCs/>
        </w:rPr>
        <w:t>Geophysics</w:t>
      </w:r>
      <w:r w:rsidRPr="00065053">
        <w:t>, 64, 820–837.</w:t>
      </w:r>
    </w:p>
    <w:p w14:paraId="0BF3D72F" w14:textId="77777777" w:rsidR="00065053" w:rsidRPr="00065053" w:rsidRDefault="00065053" w:rsidP="00065053">
      <w:pPr>
        <w:numPr>
          <w:ilvl w:val="0"/>
          <w:numId w:val="1"/>
        </w:numPr>
      </w:pPr>
      <w:r w:rsidRPr="00065053">
        <w:rPr>
          <w:lang w:val="en-US"/>
        </w:rPr>
        <w:t xml:space="preserve">Grechka, V., Tsvankin, I., &amp; Cohen, J. K. (1999). Generalized Dix equation and analytic treatment of normal-moveout velocity for anisotropic media. </w:t>
      </w:r>
      <w:r w:rsidRPr="00065053">
        <w:rPr>
          <w:i/>
          <w:iCs/>
        </w:rPr>
        <w:t>Geophysical Prospecting</w:t>
      </w:r>
      <w:r w:rsidRPr="00065053">
        <w:t>, 47, 117–148.</w:t>
      </w:r>
    </w:p>
    <w:p w14:paraId="2492E8C3" w14:textId="77777777" w:rsidR="00065053" w:rsidRPr="00065053" w:rsidRDefault="00065053" w:rsidP="00065053">
      <w:pPr>
        <w:numPr>
          <w:ilvl w:val="0"/>
          <w:numId w:val="1"/>
        </w:numPr>
      </w:pPr>
      <w:r w:rsidRPr="00065053">
        <w:rPr>
          <w:lang w:val="en-US"/>
        </w:rPr>
        <w:t xml:space="preserve">Tsvankin, I. (1997). Anisotropic parameters and P-wave velocity for orthorhombic media. </w:t>
      </w:r>
      <w:r w:rsidRPr="00065053">
        <w:rPr>
          <w:i/>
          <w:iCs/>
        </w:rPr>
        <w:t>Geophysics</w:t>
      </w:r>
      <w:r w:rsidRPr="00065053">
        <w:t>, 62, 1292–1309.</w:t>
      </w:r>
    </w:p>
    <w:p w14:paraId="32F84DA4" w14:textId="77777777" w:rsidR="00065053" w:rsidRPr="00065053" w:rsidRDefault="00065053" w:rsidP="00065053">
      <w:pPr>
        <w:numPr>
          <w:ilvl w:val="0"/>
          <w:numId w:val="1"/>
        </w:numPr>
      </w:pPr>
      <w:r w:rsidRPr="00065053">
        <w:rPr>
          <w:lang w:val="en-US"/>
        </w:rPr>
        <w:t xml:space="preserve">Bakulin, A., Grechka, V., &amp; Tsvankin, I. (2000). Estimation of fracture parameters from reflection seismic data — Parts I, II, III. </w:t>
      </w:r>
      <w:r w:rsidRPr="00065053">
        <w:rPr>
          <w:i/>
          <w:iCs/>
        </w:rPr>
        <w:t>Geophysics</w:t>
      </w:r>
      <w:r w:rsidRPr="00065053">
        <w:t>, 65, 1788–1830.</w:t>
      </w:r>
    </w:p>
    <w:p w14:paraId="7AC76D62" w14:textId="77777777" w:rsidR="00065053" w:rsidRPr="00065053" w:rsidRDefault="00065053" w:rsidP="00065053">
      <w:pPr>
        <w:numPr>
          <w:ilvl w:val="0"/>
          <w:numId w:val="1"/>
        </w:numPr>
      </w:pPr>
      <w:r w:rsidRPr="00065053">
        <w:rPr>
          <w:lang w:val="en-US"/>
        </w:rPr>
        <w:t xml:space="preserve">Schoenberg, M., &amp; Helbig, K. (1997). Orthorhombic media: Modeling elastic wave behavior in a vertically fractured earth. </w:t>
      </w:r>
      <w:r w:rsidRPr="00065053">
        <w:rPr>
          <w:i/>
          <w:iCs/>
        </w:rPr>
        <w:t>Geophysics</w:t>
      </w:r>
      <w:r w:rsidRPr="00065053">
        <w:t>, 62, 1954–1974.</w:t>
      </w:r>
    </w:p>
    <w:p w14:paraId="4FBC3C84" w14:textId="77777777" w:rsidR="00065053" w:rsidRPr="00065053" w:rsidRDefault="00065053" w:rsidP="00065053">
      <w:pPr>
        <w:numPr>
          <w:ilvl w:val="0"/>
          <w:numId w:val="1"/>
        </w:numPr>
      </w:pPr>
      <w:r w:rsidRPr="00065053">
        <w:rPr>
          <w:lang w:val="en-US"/>
        </w:rPr>
        <w:t xml:space="preserve">Rüger, A. (2002). </w:t>
      </w:r>
      <w:r w:rsidRPr="00065053">
        <w:rPr>
          <w:i/>
          <w:iCs/>
          <w:lang w:val="en-US"/>
        </w:rPr>
        <w:t>Reflection Coefficients and Azimuthal AVO Analysis in Anisotropic Media</w:t>
      </w:r>
      <w:r w:rsidRPr="00065053">
        <w:rPr>
          <w:lang w:val="en-US"/>
        </w:rPr>
        <w:t xml:space="preserve">. </w:t>
      </w:r>
      <w:r w:rsidRPr="00065053">
        <w:t>Geophysical Monograph Series No. 10. Tulsa, OK: SEG.</w:t>
      </w:r>
    </w:p>
    <w:p w14:paraId="036A6DCC" w14:textId="77777777" w:rsidR="00065053" w:rsidRPr="00065053" w:rsidRDefault="00065053" w:rsidP="00065053">
      <w:pPr>
        <w:numPr>
          <w:ilvl w:val="0"/>
          <w:numId w:val="1"/>
        </w:numPr>
      </w:pPr>
      <w:r w:rsidRPr="00065053">
        <w:rPr>
          <w:lang w:val="en-US"/>
        </w:rPr>
        <w:t xml:space="preserve">Grechka, V., &amp; Mateeva, A. (2007). Inversion of P-wave VSP data for local anisotropy: Theory and a case study. </w:t>
      </w:r>
      <w:r w:rsidRPr="00065053">
        <w:rPr>
          <w:i/>
          <w:iCs/>
        </w:rPr>
        <w:t>Geophysics</w:t>
      </w:r>
      <w:r w:rsidRPr="00065053">
        <w:t>, 72(4), D69–D79.</w:t>
      </w:r>
    </w:p>
    <w:p w14:paraId="2502D66B" w14:textId="77777777" w:rsidR="00065053" w:rsidRPr="00065053" w:rsidRDefault="00065053" w:rsidP="00065053">
      <w:pPr>
        <w:numPr>
          <w:ilvl w:val="0"/>
          <w:numId w:val="1"/>
        </w:numPr>
      </w:pPr>
      <w:r w:rsidRPr="00065053">
        <w:rPr>
          <w:lang w:val="en-US"/>
        </w:rPr>
        <w:t xml:space="preserve">Grechka, V., &amp; Heigl, W. M. (2017). </w:t>
      </w:r>
      <w:r w:rsidRPr="00065053">
        <w:rPr>
          <w:i/>
          <w:iCs/>
        </w:rPr>
        <w:t>Microseismic Monitoring</w:t>
      </w:r>
      <w:r w:rsidRPr="00065053">
        <w:t>. Tulsa, OK: SEG. (Sequel volume on microseismic-specific applications.)</w:t>
      </w:r>
    </w:p>
    <w:p w14:paraId="78E8A042" w14:textId="77777777" w:rsidR="00065053" w:rsidRPr="00065053" w:rsidRDefault="00065053" w:rsidP="00065053">
      <w:pPr>
        <w:numPr>
          <w:ilvl w:val="0"/>
          <w:numId w:val="1"/>
        </w:numPr>
        <w:rPr>
          <w:lang w:val="en-US"/>
        </w:rPr>
      </w:pPr>
      <w:r w:rsidRPr="00065053">
        <w:rPr>
          <w:lang w:val="en-US"/>
        </w:rPr>
        <w:lastRenderedPageBreak/>
        <w:t xml:space="preserve">Thomsen, L. (1986). Weak elastic anisotropy. </w:t>
      </w:r>
      <w:r w:rsidRPr="00065053">
        <w:rPr>
          <w:i/>
          <w:iCs/>
          <w:lang w:val="en-US"/>
        </w:rPr>
        <w:t>Geophysics</w:t>
      </w:r>
      <w:r w:rsidRPr="00065053">
        <w:rPr>
          <w:lang w:val="en-US"/>
        </w:rPr>
        <w:t>, 51, 1954–1966. (Foundational notation used throughout.)</w:t>
      </w:r>
    </w:p>
    <w:p w14:paraId="16FBED1A" w14:textId="77777777" w:rsidR="00D63F29" w:rsidRPr="00065053" w:rsidRDefault="00D63F29">
      <w:pPr>
        <w:rPr>
          <w:lang w:val="en-US"/>
        </w:rPr>
      </w:pPr>
    </w:p>
    <w:sectPr w:rsidR="00D63F29" w:rsidRPr="000650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11BD3"/>
    <w:multiLevelType w:val="multilevel"/>
    <w:tmpl w:val="39F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44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D7"/>
    <w:rsid w:val="00065053"/>
    <w:rsid w:val="00320F57"/>
    <w:rsid w:val="00BB02F7"/>
    <w:rsid w:val="00C345D7"/>
    <w:rsid w:val="00D63F29"/>
    <w:rsid w:val="00F9251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8308D-C9B5-49E5-972D-CB3DBA3C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34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34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345D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345D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345D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345D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345D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345D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345D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345D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345D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345D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345D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345D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345D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345D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345D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345D7"/>
    <w:rPr>
      <w:rFonts w:eastAsiaTheme="majorEastAsia" w:cstheme="majorBidi"/>
      <w:color w:val="272727" w:themeColor="text1" w:themeTint="D8"/>
    </w:rPr>
  </w:style>
  <w:style w:type="paragraph" w:styleId="Tittel">
    <w:name w:val="Title"/>
    <w:basedOn w:val="Normal"/>
    <w:next w:val="Normal"/>
    <w:link w:val="TittelTegn"/>
    <w:uiPriority w:val="10"/>
    <w:qFormat/>
    <w:rsid w:val="00C34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345D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345D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345D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345D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345D7"/>
    <w:rPr>
      <w:i/>
      <w:iCs/>
      <w:color w:val="404040" w:themeColor="text1" w:themeTint="BF"/>
    </w:rPr>
  </w:style>
  <w:style w:type="paragraph" w:styleId="Listeavsnitt">
    <w:name w:val="List Paragraph"/>
    <w:basedOn w:val="Normal"/>
    <w:uiPriority w:val="34"/>
    <w:qFormat/>
    <w:rsid w:val="00C345D7"/>
    <w:pPr>
      <w:ind w:left="720"/>
      <w:contextualSpacing/>
    </w:pPr>
  </w:style>
  <w:style w:type="character" w:styleId="Sterkutheving">
    <w:name w:val="Intense Emphasis"/>
    <w:basedOn w:val="Standardskriftforavsnitt"/>
    <w:uiPriority w:val="21"/>
    <w:qFormat/>
    <w:rsid w:val="00C345D7"/>
    <w:rPr>
      <w:i/>
      <w:iCs/>
      <w:color w:val="0F4761" w:themeColor="accent1" w:themeShade="BF"/>
    </w:rPr>
  </w:style>
  <w:style w:type="paragraph" w:styleId="Sterktsitat">
    <w:name w:val="Intense Quote"/>
    <w:basedOn w:val="Normal"/>
    <w:next w:val="Normal"/>
    <w:link w:val="SterktsitatTegn"/>
    <w:uiPriority w:val="30"/>
    <w:qFormat/>
    <w:rsid w:val="00C34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345D7"/>
    <w:rPr>
      <w:i/>
      <w:iCs/>
      <w:color w:val="0F4761" w:themeColor="accent1" w:themeShade="BF"/>
    </w:rPr>
  </w:style>
  <w:style w:type="character" w:styleId="Sterkreferanse">
    <w:name w:val="Intense Reference"/>
    <w:basedOn w:val="Standardskriftforavsnitt"/>
    <w:uiPriority w:val="32"/>
    <w:qFormat/>
    <w:rsid w:val="00C34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1881</Words>
  <Characters>9971</Characters>
  <Application>Microsoft Office Word</Application>
  <DocSecurity>0</DocSecurity>
  <Lines>83</Lines>
  <Paragraphs>23</Paragraphs>
  <ScaleCrop>false</ScaleCrop>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Pettersen</dc:creator>
  <cp:keywords/>
  <dc:description/>
  <cp:lastModifiedBy>Inge Pettersen</cp:lastModifiedBy>
  <cp:revision>2</cp:revision>
  <dcterms:created xsi:type="dcterms:W3CDTF">2026-04-26T09:58:00Z</dcterms:created>
  <dcterms:modified xsi:type="dcterms:W3CDTF">2026-04-26T09:59:00Z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b73ed7f9-b504-49b3-933b-75966ca2ad02</vt:lpwstr>
  </property>
</Properties>
</file>