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6282FE" w14:textId="77777777" w:rsidR="00033317" w:rsidRPr="00033317" w:rsidRDefault="00033317" w:rsidP="00033317">
      <w:pPr>
        <w:rPr>
          <w:b/>
          <w:bCs/>
          <w:lang w:val="en-US"/>
        </w:rPr>
      </w:pPr>
      <w:r w:rsidRPr="00033317">
        <w:rPr>
          <w:b/>
          <w:bCs/>
          <w:lang w:val="en-US"/>
        </w:rPr>
        <w:t xml:space="preserve">Review: Tsvankin, I. (2012), </w:t>
      </w:r>
      <w:r w:rsidRPr="00033317">
        <w:rPr>
          <w:b/>
          <w:bCs/>
          <w:i/>
          <w:iCs/>
          <w:lang w:val="en-US"/>
        </w:rPr>
        <w:t>Seismic Signatures and Analysis of Reflection Data in Anisotropic Media</w:t>
      </w:r>
      <w:r w:rsidRPr="00033317">
        <w:rPr>
          <w:b/>
          <w:bCs/>
          <w:lang w:val="en-US"/>
        </w:rPr>
        <w:t xml:space="preserve"> (3rd ed.)</w:t>
      </w:r>
    </w:p>
    <w:p w14:paraId="03483C51" w14:textId="77777777" w:rsidR="00033317" w:rsidRPr="00033317" w:rsidRDefault="00033317" w:rsidP="00033317">
      <w:pPr>
        <w:rPr>
          <w:b/>
          <w:bCs/>
          <w:lang w:val="en-US"/>
        </w:rPr>
      </w:pPr>
      <w:r w:rsidRPr="00033317">
        <w:rPr>
          <w:b/>
          <w:bCs/>
          <w:lang w:val="en-US"/>
        </w:rPr>
        <w:t>Context and contribution</w:t>
      </w:r>
    </w:p>
    <w:p w14:paraId="053EB470" w14:textId="77777777" w:rsidR="00033317" w:rsidRPr="00033317" w:rsidRDefault="00033317" w:rsidP="00033317">
      <w:pPr>
        <w:rPr>
          <w:lang w:val="en-US"/>
        </w:rPr>
      </w:pPr>
      <w:r w:rsidRPr="00033317">
        <w:rPr>
          <w:lang w:val="en-US"/>
        </w:rPr>
        <w:t xml:space="preserve">This is the third edition of Ilya Tsvankin's standard reference on anisotropy as it applies to reflection seismology. The first two editions (Elsevier 2001 and 2005) were Volume 29 of the </w:t>
      </w:r>
      <w:r w:rsidRPr="00033317">
        <w:rPr>
          <w:i/>
          <w:iCs/>
          <w:lang w:val="en-US"/>
        </w:rPr>
        <w:t>Handbook of Geophysical Exploration: Seismic Exploration</w:t>
      </w:r>
      <w:r w:rsidRPr="00033317">
        <w:rPr>
          <w:lang w:val="en-US"/>
        </w:rPr>
        <w:t xml:space="preserve">; the rights reverted to the author and SEG reissued the work in 2012 as Geophysical References Series No. 19.After receiving the publication rights from Elsevier in 2010, I chose SEG for the next edition because the society includes the vast majority of the book's intended readership. The book is essentially the canonical text for understanding </w:t>
      </w:r>
      <w:r w:rsidRPr="00033317">
        <w:rPr>
          <w:i/>
          <w:iCs/>
          <w:lang w:val="en-US"/>
        </w:rPr>
        <w:t>vertical</w:t>
      </w:r>
      <w:r w:rsidRPr="00033317">
        <w:rPr>
          <w:lang w:val="en-US"/>
        </w:rPr>
        <w:t xml:space="preserve"> and </w:t>
      </w:r>
      <w:r w:rsidRPr="00033317">
        <w:rPr>
          <w:i/>
          <w:iCs/>
          <w:lang w:val="en-US"/>
        </w:rPr>
        <w:t>tilted</w:t>
      </w:r>
      <w:r w:rsidRPr="00033317">
        <w:rPr>
          <w:lang w:val="en-US"/>
        </w:rPr>
        <w:t xml:space="preserve"> transverse isotropy (VTI and TTI) — the symmetries that, by the time the third edition appeared, had become the routine choice in industrial P-wave depth </w:t>
      </w:r>
      <w:proofErr w:type="spellStart"/>
      <w:r w:rsidRPr="00033317">
        <w:rPr>
          <w:lang w:val="en-US"/>
        </w:rPr>
        <w:t>imaging.It</w:t>
      </w:r>
      <w:proofErr w:type="spellEnd"/>
      <w:r w:rsidRPr="00033317">
        <w:rPr>
          <w:lang w:val="en-US"/>
        </w:rPr>
        <w:t xml:space="preserve"> will not be an exaggeration to characterize the decade that has passed since completion of the original version of the book as momentous in the history of seismic anisotropy: although the main concepts of anisotropic parameter estimation and general approaches to seismic processing for anisotropic media had been developed earlier, transversely isotropic models with a vertical (VTI) and tilted (TTI) symmetry axis finally became standard in P-wave depth imaging by 2010. The companion volume on lower-symmetry, azimuthally anisotropic media (</w:t>
      </w:r>
      <w:proofErr w:type="spellStart"/>
      <w:r w:rsidRPr="00033317">
        <w:rPr>
          <w:lang w:val="en-US"/>
        </w:rPr>
        <w:t>Tsvankin</w:t>
      </w:r>
      <w:proofErr w:type="spellEnd"/>
      <w:r w:rsidRPr="00033317">
        <w:rPr>
          <w:lang w:val="en-US"/>
        </w:rPr>
        <w:t xml:space="preserve"> &amp; </w:t>
      </w:r>
      <w:proofErr w:type="spellStart"/>
      <w:r w:rsidRPr="00033317">
        <w:rPr>
          <w:lang w:val="en-US"/>
        </w:rPr>
        <w:t>Grechka</w:t>
      </w:r>
      <w:proofErr w:type="spellEnd"/>
      <w:r w:rsidRPr="00033317">
        <w:rPr>
          <w:lang w:val="en-US"/>
        </w:rPr>
        <w:t>, 2011) handles HTI, orthorhombic, and fractured-reservoir applications; this book stays deliberately within the polar-anisotropy world where the issues are NMO, nonhyperbolic moveout, AVO, and depth imaging rather than fracture detection.</w:t>
      </w:r>
    </w:p>
    <w:p w14:paraId="519CEB54" w14:textId="77777777" w:rsidR="00033317" w:rsidRPr="00033317" w:rsidRDefault="00033317" w:rsidP="00033317">
      <w:pPr>
        <w:rPr>
          <w:b/>
          <w:bCs/>
          <w:lang w:val="en-US"/>
        </w:rPr>
      </w:pPr>
      <w:r w:rsidRPr="00033317">
        <w:rPr>
          <w:b/>
          <w:bCs/>
          <w:lang w:val="en-US"/>
        </w:rPr>
        <w:t>Structure and main ideas</w:t>
      </w:r>
    </w:p>
    <w:p w14:paraId="0BFCE0A8" w14:textId="77777777" w:rsidR="00033317" w:rsidRPr="00033317" w:rsidRDefault="00033317" w:rsidP="00033317">
      <w:pPr>
        <w:rPr>
          <w:lang w:val="en-US"/>
        </w:rPr>
      </w:pPr>
      <w:r w:rsidRPr="00033317">
        <w:rPr>
          <w:lang w:val="en-US"/>
        </w:rPr>
        <w:t xml:space="preserve">The book retains the eight-chapter structure of the earlier editions, with each chapter pairing exact theory with weak-anisotropy approximations and closing with practical processing </w:t>
      </w:r>
      <w:proofErr w:type="spellStart"/>
      <w:r w:rsidRPr="00033317">
        <w:rPr>
          <w:lang w:val="en-US"/>
        </w:rPr>
        <w:t>implications.The</w:t>
      </w:r>
      <w:proofErr w:type="spellEnd"/>
      <w:r w:rsidRPr="00033317">
        <w:rPr>
          <w:lang w:val="en-US"/>
        </w:rPr>
        <w:t xml:space="preserve"> chapters are: (1) Elements of basic theory of anisotropic wave propagation; (2) Influence of anisotropy on point-source radiation and AVO analysis; (3) Normal-moveout velocity in layered anisotropic media; (4) Nonhyperbolic reflection moveout; (5) Reflection moveout of mode-converted waves; (6) P-wave time-domain signatures in transversely isotropic media; (7) Velocity analysis and parameter estimation for VTI media; (8) P-wave imaging for VTI media. The third edition updates the references and reflects the post-2005 maturation of TTI imaging, but the conceptual architecture is unchanged.</w:t>
      </w:r>
    </w:p>
    <w:p w14:paraId="7F434DD7" w14:textId="77777777" w:rsidR="00033317" w:rsidRPr="00033317" w:rsidRDefault="00033317" w:rsidP="00033317">
      <w:pPr>
        <w:rPr>
          <w:lang w:val="en-US"/>
        </w:rPr>
      </w:pPr>
      <w:r w:rsidRPr="00033317">
        <w:rPr>
          <w:b/>
          <w:bCs/>
          <w:lang w:val="en-US"/>
        </w:rPr>
        <w:t>Chapter 1 — Basic theory.</w:t>
      </w:r>
      <w:r w:rsidRPr="00033317">
        <w:rPr>
          <w:lang w:val="en-US"/>
        </w:rPr>
        <w:t xml:space="preserve"> The book opens with the Christoffel equation, plane-wave phase and group velocities, polarization vectors, and the introduction of the Thomsen and Tsvankin notations.Topics include governing equations and plane-wave properties, plane waves in transversely isotropic media, plane waves in orthorhombic media, with appendices on phase velocity in arbitrary anisotropic media and the group-velocity vector as a function of phase velocity. The choice of notation is itself one of the book's </w:t>
      </w:r>
      <w:r w:rsidRPr="00033317">
        <w:rPr>
          <w:lang w:val="en-US"/>
        </w:rPr>
        <w:lastRenderedPageBreak/>
        <w:t xml:space="preserve">lasting contributions: Tsvankin's reformulation of orthorhombic anisotropy with two </w:t>
      </w:r>
      <w:proofErr w:type="spellStart"/>
      <w:r w:rsidRPr="00033317">
        <w:t>ε</w:t>
      </w:r>
      <w:proofErr w:type="spellEnd"/>
      <w:r w:rsidRPr="00033317">
        <w:rPr>
          <w:lang w:val="en-US"/>
        </w:rPr>
        <w:t xml:space="preserve">'s, three </w:t>
      </w:r>
      <w:proofErr w:type="spellStart"/>
      <w:r w:rsidRPr="00033317">
        <w:t>δ</w:t>
      </w:r>
      <w:proofErr w:type="spellEnd"/>
      <w:r w:rsidRPr="00033317">
        <w:rPr>
          <w:lang w:val="en-US"/>
        </w:rPr>
        <w:t xml:space="preserve">'s, and two </w:t>
      </w:r>
      <w:proofErr w:type="spellStart"/>
      <w:r w:rsidRPr="00033317">
        <w:t>γ</w:t>
      </w:r>
      <w:proofErr w:type="spellEnd"/>
      <w:r w:rsidRPr="00033317">
        <w:rPr>
          <w:lang w:val="en-US"/>
        </w:rPr>
        <w:t>'s that mirror the VTI Thomsen parameters in each symmetry plane has become the de facto industry standard, because it lets every VTI result be carried over to orthorhombic by symmetry-plane substitution.</w:t>
      </w:r>
    </w:p>
    <w:p w14:paraId="540E35E1" w14:textId="77777777" w:rsidR="00033317" w:rsidRPr="00033317" w:rsidRDefault="00033317" w:rsidP="00033317">
      <w:pPr>
        <w:rPr>
          <w:lang w:val="en-US"/>
        </w:rPr>
      </w:pPr>
      <w:r w:rsidRPr="00033317">
        <w:rPr>
          <w:b/>
          <w:bCs/>
          <w:lang w:val="en-US"/>
        </w:rPr>
        <w:t>Chapter 2 — Point-source radiation and AVO.</w:t>
      </w:r>
      <w:r w:rsidRPr="00033317">
        <w:rPr>
          <w:lang w:val="en-US"/>
        </w:rPr>
        <w:t xml:space="preserve"> A central message is that anisotropy distorts amplitudes through </w:t>
      </w:r>
      <w:r w:rsidRPr="00033317">
        <w:rPr>
          <w:i/>
          <w:iCs/>
          <w:lang w:val="en-US"/>
        </w:rPr>
        <w:t>two</w:t>
      </w:r>
      <w:r w:rsidRPr="00033317">
        <w:rPr>
          <w:lang w:val="en-US"/>
        </w:rPr>
        <w:t xml:space="preserve"> mechanisms simultaneously: the reflection coefficient itself, and the geometric-spreading factor en route to the reflector.Description of the amplitude-variation-with-offset (AVO) response of P- and S-waves in TI media shows that anisotropy may cause serious distortions in both the reflection coefficient and geometrical-spreading factor. The chapter develops the anisotropic Green's function and the weak-anisotropy radiation patterns, and shows that even a few percent of velocity anisotropy can produce sizable amplitude anomalies — a result re-emphasized in the third edition's preface as the reason FWI in anisotropic media is non-trivial. The Rüger linearized AVO formulas for VTI follow from this machinery.</w:t>
      </w:r>
    </w:p>
    <w:p w14:paraId="4035CD7C" w14:textId="77777777" w:rsidR="00033317" w:rsidRPr="00033317" w:rsidRDefault="00033317" w:rsidP="00033317">
      <w:pPr>
        <w:rPr>
          <w:lang w:val="en-US"/>
        </w:rPr>
      </w:pPr>
      <w:r w:rsidRPr="00033317">
        <w:rPr>
          <w:b/>
          <w:bCs/>
          <w:lang w:val="en-US"/>
        </w:rPr>
        <w:t>Chapter 3 — NMO velocity in layered anisotropic media.</w:t>
      </w:r>
      <w:r w:rsidRPr="00033317">
        <w:rPr>
          <w:lang w:val="en-US"/>
        </w:rPr>
        <w:t xml:space="preserve"> This chapter covers the heart of conventional anisotropic velocity analysis: the dependence of normal-moveout velocity on Thomsen </w:t>
      </w:r>
      <w:r w:rsidRPr="00033317">
        <w:t>δ</w:t>
      </w:r>
      <w:r w:rsidRPr="00033317">
        <w:rPr>
          <w:lang w:val="en-US"/>
        </w:rPr>
        <w:t xml:space="preserve"> (in VTI) and on </w:t>
      </w:r>
      <w:r w:rsidRPr="00033317">
        <w:t>δ</w:t>
      </w:r>
      <w:r w:rsidRPr="00033317">
        <w:rPr>
          <w:lang w:val="en-US"/>
        </w:rPr>
        <w:t xml:space="preserve"> plus the symmetry-axis tilt (in TTI), the anisotropic generalization of the Dix equation, and the time-to-depth conversion problem that arises because vertical and NMO velocities differ in anisotropic media. Crucially, NMO velocity from a horizontal reflector recovers </w:t>
      </w:r>
      <w:r w:rsidRPr="00033317">
        <w:t>δ</w:t>
      </w:r>
      <w:r w:rsidRPr="00033317">
        <w:rPr>
          <w:lang w:val="en-US"/>
        </w:rPr>
        <w:t xml:space="preserve"> but is </w:t>
      </w:r>
      <w:r w:rsidRPr="00033317">
        <w:rPr>
          <w:i/>
          <w:iCs/>
          <w:lang w:val="en-US"/>
        </w:rPr>
        <w:t>blind</w:t>
      </w:r>
      <w:r w:rsidRPr="00033317">
        <w:rPr>
          <w:lang w:val="en-US"/>
        </w:rPr>
        <w:t xml:space="preserve"> to </w:t>
      </w:r>
      <w:r w:rsidRPr="00033317">
        <w:t>ε</w:t>
      </w:r>
      <w:r w:rsidRPr="00033317">
        <w:rPr>
          <w:lang w:val="en-US"/>
        </w:rPr>
        <w:t xml:space="preserve"> — establishing the ambiguity that motivates everything in Chapter 4.</w:t>
      </w:r>
    </w:p>
    <w:p w14:paraId="6B18D23B" w14:textId="77777777" w:rsidR="00033317" w:rsidRPr="00033317" w:rsidRDefault="00033317" w:rsidP="00033317">
      <w:pPr>
        <w:rPr>
          <w:lang w:val="en-US"/>
        </w:rPr>
      </w:pPr>
      <w:r w:rsidRPr="00033317">
        <w:rPr>
          <w:b/>
          <w:bCs/>
          <w:lang w:val="en-US"/>
        </w:rPr>
        <w:t>Chapter 4 — Nonhyperbolic reflection moveout.</w:t>
      </w:r>
      <w:r w:rsidRPr="00033317">
        <w:rPr>
          <w:lang w:val="en-US"/>
        </w:rPr>
        <w:t xml:space="preserve"> Here the book develops the Tsvankin–Thomsen quartic moveout coefficient and the closed-form long-spread moveout equation that has become the workhorse of </w:t>
      </w:r>
      <w:r w:rsidRPr="00033317">
        <w:t>η</w:t>
      </w:r>
      <w:r w:rsidRPr="00033317">
        <w:rPr>
          <w:lang w:val="en-US"/>
        </w:rPr>
        <w:t xml:space="preserve"> estimation.Topics include the quartic moveout coefficient, the nonhyperbolic moveout equation, P-wave moveout in VTI media in terms of the parameter </w:t>
      </w:r>
      <w:r w:rsidRPr="00033317">
        <w:t>η</w:t>
      </w:r>
      <w:r w:rsidRPr="00033317">
        <w:rPr>
          <w:lang w:val="en-US"/>
        </w:rPr>
        <w:t xml:space="preserve">, and long-spread moveout of SV-waves in VTI media. The chapter formalizes the Alkhalifah–Tsvankin observation that for spreadlengths larger than about depth × 1, P-wave time processing in VTI media requires only </w:t>
      </w:r>
      <w:r w:rsidRPr="00033317">
        <w:rPr>
          <w:i/>
          <w:iCs/>
          <w:lang w:val="en-US"/>
        </w:rPr>
        <w:t>two</w:t>
      </w:r>
      <w:r w:rsidRPr="00033317">
        <w:rPr>
          <w:lang w:val="en-US"/>
        </w:rPr>
        <w:t xml:space="preserve"> effective parameters — Vnmo(0) and </w:t>
      </w:r>
      <w:r w:rsidRPr="00033317">
        <w:t>η</w:t>
      </w:r>
      <w:r w:rsidRPr="00033317">
        <w:rPr>
          <w:lang w:val="en-US"/>
        </w:rPr>
        <w:t xml:space="preserve"> = (</w:t>
      </w:r>
      <w:r w:rsidRPr="00033317">
        <w:t>ε</w:t>
      </w:r>
      <w:r w:rsidRPr="00033317">
        <w:rPr>
          <w:lang w:val="en-US"/>
        </w:rPr>
        <w:t>−</w:t>
      </w:r>
      <w:r w:rsidRPr="00033317">
        <w:t>δ</w:t>
      </w:r>
      <w:r w:rsidRPr="00033317">
        <w:rPr>
          <w:lang w:val="en-US"/>
        </w:rPr>
        <w:t>)/(1+2</w:t>
      </w:r>
      <w:r w:rsidRPr="00033317">
        <w:t>δ</w:t>
      </w:r>
      <w:r w:rsidRPr="00033317">
        <w:rPr>
          <w:lang w:val="en-US"/>
        </w:rPr>
        <w:t xml:space="preserve">) — and that </w:t>
      </w:r>
      <w:r w:rsidRPr="00033317">
        <w:t>ε</w:t>
      </w:r>
      <w:r w:rsidRPr="00033317">
        <w:rPr>
          <w:lang w:val="en-US"/>
        </w:rPr>
        <w:t xml:space="preserve"> and </w:t>
      </w:r>
      <w:r w:rsidRPr="00033317">
        <w:t>δ</w:t>
      </w:r>
      <w:r w:rsidRPr="00033317">
        <w:rPr>
          <w:lang w:val="en-US"/>
        </w:rPr>
        <w:t xml:space="preserve"> individually cannot be recovered from surface P-wave moveout alone without depth information from a well.</w:t>
      </w:r>
    </w:p>
    <w:p w14:paraId="32460683" w14:textId="77777777" w:rsidR="00033317" w:rsidRPr="00033317" w:rsidRDefault="00033317" w:rsidP="00033317">
      <w:pPr>
        <w:rPr>
          <w:lang w:val="en-US"/>
        </w:rPr>
      </w:pPr>
      <w:r w:rsidRPr="00033317">
        <w:rPr>
          <w:b/>
          <w:bCs/>
          <w:lang w:val="en-US"/>
        </w:rPr>
        <w:t>Chapter 5 — Mode-converted (PS) waves.</w:t>
      </w:r>
      <w:r w:rsidRPr="00033317">
        <w:rPr>
          <w:lang w:val="en-US"/>
        </w:rPr>
        <w:t xml:space="preserve"> PS reflection moveout is asymmetric (interchanging source and receiver changes the traveltime), it is multivalued in dipping geometries, and the conversion-point gather is offset from the CMP. The chapter develops the 2-D and 3-D PS moveout equations, applies them to VTI layers, and introduces the joint inversion of PP and PS data that gives access to vertical velocity and depth — information that PP alone cannot supply.</w:t>
      </w:r>
    </w:p>
    <w:p w14:paraId="4374AAC7" w14:textId="77777777" w:rsidR="00033317" w:rsidRPr="00033317" w:rsidRDefault="00033317" w:rsidP="00033317">
      <w:pPr>
        <w:rPr>
          <w:lang w:val="en-US"/>
        </w:rPr>
      </w:pPr>
      <w:r w:rsidRPr="00033317">
        <w:rPr>
          <w:b/>
          <w:bCs/>
          <w:lang w:val="en-US"/>
        </w:rPr>
        <w:t>Chapter 6 — P-wave time-domain signatures in TI media.</w:t>
      </w:r>
      <w:r w:rsidRPr="00033317">
        <w:rPr>
          <w:lang w:val="en-US"/>
        </w:rPr>
        <w:t xml:space="preserve"> This chapter unifies Chapters 3 and 4 around the question: what is the smallest set of parameters that </w:t>
      </w:r>
      <w:r w:rsidRPr="00033317">
        <w:rPr>
          <w:lang w:val="en-US"/>
        </w:rPr>
        <w:lastRenderedPageBreak/>
        <w:t xml:space="preserve">controls </w:t>
      </w:r>
      <w:r w:rsidRPr="00033317">
        <w:rPr>
          <w:i/>
          <w:iCs/>
          <w:lang w:val="en-US"/>
        </w:rPr>
        <w:t>all</w:t>
      </w:r>
      <w:r w:rsidRPr="00033317">
        <w:rPr>
          <w:lang w:val="en-US"/>
        </w:rPr>
        <w:t xml:space="preserve"> P-wave time signatures in a homogeneous TI half-space? The answer — </w:t>
      </w:r>
      <w:proofErr w:type="gramStart"/>
      <w:r w:rsidRPr="00033317">
        <w:rPr>
          <w:lang w:val="en-US"/>
        </w:rPr>
        <w:t>Vnmo(</w:t>
      </w:r>
      <w:proofErr w:type="gramEnd"/>
      <w:r w:rsidRPr="00033317">
        <w:rPr>
          <w:lang w:val="en-US"/>
        </w:rPr>
        <w:t xml:space="preserve">0) and </w:t>
      </w:r>
      <w:r w:rsidRPr="00033317">
        <w:t>η</w:t>
      </w:r>
      <w:r w:rsidRPr="00033317">
        <w:rPr>
          <w:lang w:val="en-US"/>
        </w:rPr>
        <w:t xml:space="preserve"> for VTI, with the symmetry-axis tilt added for TTI — is one of the most cited results in the book, because it shows that practical anisotropic time imaging can be done without ever recovering </w:t>
      </w:r>
      <w:r w:rsidRPr="00033317">
        <w:t>ε</w:t>
      </w:r>
      <w:r w:rsidRPr="00033317">
        <w:rPr>
          <w:lang w:val="en-US"/>
        </w:rPr>
        <w:t xml:space="preserve"> and </w:t>
      </w:r>
      <w:r w:rsidRPr="00033317">
        <w:t>δ</w:t>
      </w:r>
      <w:r w:rsidRPr="00033317">
        <w:rPr>
          <w:lang w:val="en-US"/>
        </w:rPr>
        <w:t xml:space="preserve"> individually.</w:t>
      </w:r>
    </w:p>
    <w:p w14:paraId="6DC8704D" w14:textId="77777777" w:rsidR="00033317" w:rsidRPr="00033317" w:rsidRDefault="00033317" w:rsidP="00033317">
      <w:pPr>
        <w:rPr>
          <w:lang w:val="en-US"/>
        </w:rPr>
      </w:pPr>
      <w:r w:rsidRPr="00033317">
        <w:rPr>
          <w:b/>
          <w:bCs/>
          <w:lang w:val="en-US"/>
        </w:rPr>
        <w:t>Chapter 7 — Velocity analysis and parameter estimation for VTI media.</w:t>
      </w:r>
      <w:r w:rsidRPr="00033317">
        <w:rPr>
          <w:lang w:val="en-US"/>
        </w:rPr>
        <w:t xml:space="preserve"> This is the practical inversion chapter, covering P-wave dip-</w:t>
      </w:r>
      <w:proofErr w:type="gramStart"/>
      <w:r w:rsidRPr="00033317">
        <w:rPr>
          <w:lang w:val="en-US"/>
        </w:rPr>
        <w:t>moveout</w:t>
      </w:r>
      <w:proofErr w:type="gramEnd"/>
      <w:r w:rsidRPr="00033317">
        <w:rPr>
          <w:lang w:val="en-US"/>
        </w:rPr>
        <w:t xml:space="preserve"> inversion for </w:t>
      </w:r>
      <w:r w:rsidRPr="00033317">
        <w:t>η</w:t>
      </w:r>
      <w:r w:rsidRPr="00033317">
        <w:rPr>
          <w:lang w:val="en-US"/>
        </w:rPr>
        <w:t xml:space="preserve">, inversion of P-wave nonhyperbolic moveout, and joint inversion of PP and PS data. The book is unusually frank about </w:t>
      </w:r>
      <w:r w:rsidRPr="00033317">
        <w:rPr>
          <w:i/>
          <w:iCs/>
          <w:lang w:val="en-US"/>
        </w:rPr>
        <w:t>what is and is not feasible</w:t>
      </w:r>
      <w:r w:rsidRPr="00033317">
        <w:rPr>
          <w:lang w:val="en-US"/>
        </w:rPr>
        <w:t xml:space="preserve">: from surface P-wave reflection data alone, one cannot recover the full set of VTI parameters without external constraints; check-shots, well markers, or PS data are needed to break the depth-velocity ambiguity. As Chapter 8 puts it explicitly, P-wave time processing for VTI media with a laterally homogeneous overburden requires only the two parameters Vnmo(0) and </w:t>
      </w:r>
      <w:r w:rsidRPr="00033317">
        <w:t>η</w:t>
      </w:r>
      <w:r w:rsidRPr="00033317">
        <w:rPr>
          <w:lang w:val="en-US"/>
        </w:rPr>
        <w:t xml:space="preserve">, both of which can be obtained from surface P-wave data, but full depth imaging requires more.P-wave time processing for VTI media with a laterally homogeneous overburden requires knowledge of two parameters, Vnmo(0) and </w:t>
      </w:r>
      <w:r w:rsidRPr="00033317">
        <w:t>η</w:t>
      </w:r>
      <w:r w:rsidRPr="00033317">
        <w:rPr>
          <w:lang w:val="en-US"/>
        </w:rPr>
        <w:t>, which can be obtained from surface P-wave data; depth imaging is more demanding.</w:t>
      </w:r>
    </w:p>
    <w:p w14:paraId="3D893C46" w14:textId="77777777" w:rsidR="00033317" w:rsidRPr="00033317" w:rsidRDefault="00033317" w:rsidP="00033317">
      <w:pPr>
        <w:rPr>
          <w:lang w:val="en-US"/>
        </w:rPr>
      </w:pPr>
      <w:r w:rsidRPr="00033317">
        <w:rPr>
          <w:b/>
          <w:bCs/>
          <w:lang w:val="en-US"/>
        </w:rPr>
        <w:t>Chapter 8 — P-wave imaging for VTI media.</w:t>
      </w:r>
      <w:r w:rsidRPr="00033317">
        <w:rPr>
          <w:lang w:val="en-US"/>
        </w:rPr>
        <w:t xml:space="preserve"> The book closes by showing how isotropic imaging algorithms (DMO, post- and prestack time migration) extend to VTI by replacing isotropic phase velocities with the TI expressions of Chapter 1.Once the needed medium parameters have been estimated, conventional isotropic P-wave processing algorithms can be extended to vertical transverse isotropy by using phase-velocity equations and equations for reflection moveout from earlier chapters. The author is explicit that the chapter is not an exhaustive imaging reference (Kirchhoff migration, for example, is largely omitted) but rather a demonstration of how the theory of the previous chapters maps onto practical algorithms.</w:t>
      </w:r>
    </w:p>
    <w:p w14:paraId="54DA1E79" w14:textId="77777777" w:rsidR="00033317" w:rsidRPr="00033317" w:rsidRDefault="00033317" w:rsidP="00033317">
      <w:pPr>
        <w:rPr>
          <w:b/>
          <w:bCs/>
          <w:lang w:val="en-US"/>
        </w:rPr>
      </w:pPr>
      <w:r w:rsidRPr="00033317">
        <w:rPr>
          <w:b/>
          <w:bCs/>
          <w:lang w:val="en-US"/>
        </w:rPr>
        <w:t>Significance and limitations</w:t>
      </w:r>
    </w:p>
    <w:p w14:paraId="4ECFE804" w14:textId="77777777" w:rsidR="00033317" w:rsidRPr="00033317" w:rsidRDefault="00033317" w:rsidP="00033317">
      <w:pPr>
        <w:rPr>
          <w:lang w:val="en-US"/>
        </w:rPr>
      </w:pPr>
      <w:r w:rsidRPr="00033317">
        <w:rPr>
          <w:lang w:val="en-US"/>
        </w:rPr>
        <w:t xml:space="preserve">The book's importance is hard to overstate. By providing a single consistent notation and a single line of physical argument for VTI/TTI from Christoffel equation to migration, it replaced a fragmented research literature with a usable reference, and a generation of industrial anisotropic processing algorithms — from nonhyperbolic-moveout </w:t>
      </w:r>
      <w:r w:rsidRPr="00033317">
        <w:t>η</w:t>
      </w:r>
      <w:r w:rsidRPr="00033317">
        <w:rPr>
          <w:lang w:val="en-US"/>
        </w:rPr>
        <w:t xml:space="preserve"> picking to TTI reverse-time migration — can be traced back to its formalism."Whenever I need to work on an anisotropic algorithm or understand the underlying theory, this book saves a lot of time and effort that would have been spent on digging out dozens of old and modern papers containing contradictory notations and results." It is also the standard text used in the SEG/EAGE Continuing Education course on anisotropy that Tsvankin and Grechka have taught since 2002.</w:t>
      </w:r>
    </w:p>
    <w:p w14:paraId="1904B60D" w14:textId="77777777" w:rsidR="00033317" w:rsidRPr="00033317" w:rsidRDefault="00033317" w:rsidP="00033317">
      <w:pPr>
        <w:rPr>
          <w:lang w:val="en-US"/>
        </w:rPr>
      </w:pPr>
      <w:r w:rsidRPr="00033317">
        <w:rPr>
          <w:lang w:val="en-US"/>
        </w:rPr>
        <w:t xml:space="preserve">The clearest limitations come from the book's deliberate scope. It is a kinematic and AVO reference, not a full-waveform-inversion or rock-physics reference; FWI in anisotropic media has been the most active area since 2012 and is essentially absent </w:t>
      </w:r>
      <w:r w:rsidRPr="00033317">
        <w:rPr>
          <w:lang w:val="en-US"/>
        </w:rPr>
        <w:lastRenderedPageBreak/>
        <w:t xml:space="preserve">here. Azimuthal anisotropy, fractures, and orthorhombic models for fracture characterization are mentioned but treated only in the symmetry-plane sense — the companion 2011 volume with Grechka covers them properly. Attenuation anisotropy is mentioned but not developed. And the imaging chapter, while excellent on principles, does not cover modern least-squares migration or image-domain tomography for TTI media. For a reader needing those topics the natural companions are Carcione's </w:t>
      </w:r>
      <w:r w:rsidRPr="00033317">
        <w:rPr>
          <w:i/>
          <w:iCs/>
          <w:lang w:val="en-US"/>
        </w:rPr>
        <w:t>Wave Fields in Real Media</w:t>
      </w:r>
      <w:r w:rsidRPr="00033317">
        <w:rPr>
          <w:lang w:val="en-US"/>
        </w:rPr>
        <w:t xml:space="preserve">, the Tsvankin–Grechka 2011 monograph, and the 2017 </w:t>
      </w:r>
      <w:r w:rsidRPr="00033317">
        <w:rPr>
          <w:i/>
          <w:iCs/>
          <w:lang w:val="en-US"/>
        </w:rPr>
        <w:t>Geophysics</w:t>
      </w:r>
      <w:r w:rsidRPr="00033317">
        <w:rPr>
          <w:lang w:val="en-US"/>
        </w:rPr>
        <w:t xml:space="preserve"> special issue on seismic anisotropy.</w:t>
      </w:r>
    </w:p>
    <w:p w14:paraId="64C8C6F8" w14:textId="77777777" w:rsidR="00033317" w:rsidRPr="00033317" w:rsidRDefault="00033317" w:rsidP="00033317">
      <w:pPr>
        <w:rPr>
          <w:b/>
          <w:bCs/>
        </w:rPr>
      </w:pPr>
      <w:r w:rsidRPr="00033317">
        <w:rPr>
          <w:b/>
          <w:bCs/>
        </w:rPr>
        <w:t>References</w:t>
      </w:r>
    </w:p>
    <w:p w14:paraId="0586056B" w14:textId="77777777" w:rsidR="00033317" w:rsidRPr="00033317" w:rsidRDefault="00033317" w:rsidP="00033317">
      <w:pPr>
        <w:numPr>
          <w:ilvl w:val="0"/>
          <w:numId w:val="1"/>
        </w:numPr>
      </w:pPr>
      <w:r w:rsidRPr="00033317">
        <w:rPr>
          <w:lang w:val="en-US"/>
        </w:rPr>
        <w:t xml:space="preserve">Tsvankin, I. (2012). </w:t>
      </w:r>
      <w:r w:rsidRPr="00033317">
        <w:rPr>
          <w:i/>
          <w:iCs/>
          <w:lang w:val="en-US"/>
        </w:rPr>
        <w:t>Seismic Signatures and Analysis of Reflection Data in Anisotropic Media</w:t>
      </w:r>
      <w:r w:rsidRPr="00033317">
        <w:rPr>
          <w:lang w:val="en-US"/>
        </w:rPr>
        <w:t xml:space="preserve"> (3rd ed.). Geophysical References Series No. 19. Tulsa, OK: Society of Exploration Geophysicists. </w:t>
      </w:r>
      <w:r w:rsidRPr="00033317">
        <w:t>ISBN 978-1-56080-299-0. https://library.seg.org/doi/book/10.1190/1.9781560803003</w:t>
      </w:r>
    </w:p>
    <w:p w14:paraId="018A8DE0" w14:textId="77777777" w:rsidR="00033317" w:rsidRPr="00033317" w:rsidRDefault="00033317" w:rsidP="00033317">
      <w:pPr>
        <w:numPr>
          <w:ilvl w:val="0"/>
          <w:numId w:val="1"/>
        </w:numPr>
        <w:rPr>
          <w:lang w:val="en-US"/>
        </w:rPr>
      </w:pPr>
      <w:r w:rsidRPr="00033317">
        <w:rPr>
          <w:lang w:val="en-US"/>
        </w:rPr>
        <w:t xml:space="preserve">Tsvankin, I. (2001, 2005). </w:t>
      </w:r>
      <w:r w:rsidRPr="00033317">
        <w:rPr>
          <w:i/>
          <w:iCs/>
          <w:lang w:val="en-US"/>
        </w:rPr>
        <w:t>Seismic Signatures and Analysis of Reflection Data in Anisotropic Media</w:t>
      </w:r>
      <w:r w:rsidRPr="00033317">
        <w:rPr>
          <w:lang w:val="en-US"/>
        </w:rPr>
        <w:t xml:space="preserve"> (1st and 2nd editions). Handbook of Geophysical Exploration, Vol. 29. Amsterdam: Elsevier. (Earlier editions of the same book.)</w:t>
      </w:r>
    </w:p>
    <w:p w14:paraId="3B718019" w14:textId="77777777" w:rsidR="00033317" w:rsidRPr="00033317" w:rsidRDefault="00033317" w:rsidP="00033317">
      <w:pPr>
        <w:numPr>
          <w:ilvl w:val="0"/>
          <w:numId w:val="1"/>
        </w:numPr>
        <w:rPr>
          <w:lang w:val="en-US"/>
        </w:rPr>
      </w:pPr>
      <w:r w:rsidRPr="00033317">
        <w:rPr>
          <w:lang w:val="en-US"/>
        </w:rPr>
        <w:t xml:space="preserve">Tsvankin, I., &amp; Grechka, V. (2011). </w:t>
      </w:r>
      <w:r w:rsidRPr="00033317">
        <w:rPr>
          <w:i/>
          <w:iCs/>
          <w:lang w:val="en-US"/>
        </w:rPr>
        <w:t>Seismology of Azimuthally Anisotropic Media and Seismic Fracture Characterization</w:t>
      </w:r>
      <w:r w:rsidRPr="00033317">
        <w:rPr>
          <w:lang w:val="en-US"/>
        </w:rPr>
        <w:t>. Geophysical References Series No. 17. Tulsa, OK: SEG. (The companion volume on lower-symmetry media.)</w:t>
      </w:r>
    </w:p>
    <w:p w14:paraId="0C4C21FE" w14:textId="77777777" w:rsidR="00033317" w:rsidRPr="00033317" w:rsidRDefault="00033317" w:rsidP="00033317">
      <w:pPr>
        <w:numPr>
          <w:ilvl w:val="0"/>
          <w:numId w:val="1"/>
        </w:numPr>
        <w:rPr>
          <w:lang w:val="en-US"/>
        </w:rPr>
      </w:pPr>
      <w:r w:rsidRPr="00033317">
        <w:rPr>
          <w:lang w:val="en-US"/>
        </w:rPr>
        <w:t xml:space="preserve">Thomsen, L. (1986). Weak elastic anisotropy. </w:t>
      </w:r>
      <w:r w:rsidRPr="00033317">
        <w:rPr>
          <w:i/>
          <w:iCs/>
          <w:lang w:val="en-US"/>
        </w:rPr>
        <w:t>Geophysics</w:t>
      </w:r>
      <w:r w:rsidRPr="00033317">
        <w:rPr>
          <w:lang w:val="en-US"/>
        </w:rPr>
        <w:t xml:space="preserve">, 51, 1954–1966. (Foundational paper introducing the </w:t>
      </w:r>
      <w:r w:rsidRPr="00033317">
        <w:t>ε</w:t>
      </w:r>
      <w:r w:rsidRPr="00033317">
        <w:rPr>
          <w:lang w:val="en-US"/>
        </w:rPr>
        <w:t xml:space="preserve">, </w:t>
      </w:r>
      <w:r w:rsidRPr="00033317">
        <w:t>δ</w:t>
      </w:r>
      <w:r w:rsidRPr="00033317">
        <w:rPr>
          <w:lang w:val="en-US"/>
        </w:rPr>
        <w:t xml:space="preserve">, </w:t>
      </w:r>
      <w:r w:rsidRPr="00033317">
        <w:t>γ</w:t>
      </w:r>
      <w:r w:rsidRPr="00033317">
        <w:rPr>
          <w:lang w:val="en-US"/>
        </w:rPr>
        <w:t xml:space="preserve"> parameters used throughout.)</w:t>
      </w:r>
    </w:p>
    <w:p w14:paraId="5FC0C338" w14:textId="77777777" w:rsidR="00033317" w:rsidRPr="00033317" w:rsidRDefault="00033317" w:rsidP="00033317">
      <w:pPr>
        <w:numPr>
          <w:ilvl w:val="0"/>
          <w:numId w:val="1"/>
        </w:numPr>
      </w:pPr>
      <w:r w:rsidRPr="00033317">
        <w:rPr>
          <w:lang w:val="en-US"/>
        </w:rPr>
        <w:t xml:space="preserve">Tsvankin, I. (1997). Anisotropic parameters and P-wave velocity for orthorhombic media. </w:t>
      </w:r>
      <w:proofErr w:type="spellStart"/>
      <w:r w:rsidRPr="00033317">
        <w:rPr>
          <w:i/>
          <w:iCs/>
        </w:rPr>
        <w:t>Geophysics</w:t>
      </w:r>
      <w:proofErr w:type="spellEnd"/>
      <w:r w:rsidRPr="00033317">
        <w:t>, 62, 1292–1309.</w:t>
      </w:r>
    </w:p>
    <w:p w14:paraId="010E3329" w14:textId="77777777" w:rsidR="00033317" w:rsidRPr="00033317" w:rsidRDefault="00033317" w:rsidP="00033317">
      <w:pPr>
        <w:numPr>
          <w:ilvl w:val="0"/>
          <w:numId w:val="1"/>
        </w:numPr>
      </w:pPr>
      <w:r w:rsidRPr="00033317">
        <w:rPr>
          <w:lang w:val="en-US"/>
        </w:rPr>
        <w:t xml:space="preserve">Tsvankin, I., &amp; Thomsen, L. (1994). Nonhyperbolic reflection moveout in anisotropic media. </w:t>
      </w:r>
      <w:proofErr w:type="spellStart"/>
      <w:r w:rsidRPr="00033317">
        <w:rPr>
          <w:i/>
          <w:iCs/>
        </w:rPr>
        <w:t>Geophysics</w:t>
      </w:r>
      <w:proofErr w:type="spellEnd"/>
      <w:r w:rsidRPr="00033317">
        <w:t>, 59, 1290–1304. (</w:t>
      </w:r>
      <w:proofErr w:type="spellStart"/>
      <w:r w:rsidRPr="00033317">
        <w:t>Underlies</w:t>
      </w:r>
      <w:proofErr w:type="spellEnd"/>
      <w:r w:rsidRPr="00033317">
        <w:t xml:space="preserve"> Chapter 4.)</w:t>
      </w:r>
    </w:p>
    <w:p w14:paraId="18CD4A05" w14:textId="77777777" w:rsidR="00033317" w:rsidRPr="00033317" w:rsidRDefault="00033317" w:rsidP="00033317">
      <w:pPr>
        <w:numPr>
          <w:ilvl w:val="0"/>
          <w:numId w:val="1"/>
        </w:numPr>
      </w:pPr>
      <w:r w:rsidRPr="00033317">
        <w:rPr>
          <w:lang w:val="en-US"/>
        </w:rPr>
        <w:t xml:space="preserve">Alkhalifah, T., &amp; Tsvankin, I. (1995). Velocity analysis for transversely isotropic media. </w:t>
      </w:r>
      <w:r w:rsidRPr="00033317">
        <w:rPr>
          <w:i/>
          <w:iCs/>
          <w:lang w:val="en-US"/>
        </w:rPr>
        <w:t>Geophysics</w:t>
      </w:r>
      <w:r w:rsidRPr="00033317">
        <w:rPr>
          <w:lang w:val="en-US"/>
        </w:rPr>
        <w:t xml:space="preserve">, 60, 1550–1566. </w:t>
      </w:r>
      <w:r w:rsidRPr="00033317">
        <w:t xml:space="preserve">(The </w:t>
      </w:r>
      <w:proofErr w:type="spellStart"/>
      <w:r w:rsidRPr="00033317">
        <w:t>two</w:t>
      </w:r>
      <w:proofErr w:type="spellEnd"/>
      <w:r w:rsidRPr="00033317">
        <w:t>-parameter (</w:t>
      </w:r>
      <w:proofErr w:type="spellStart"/>
      <w:r w:rsidRPr="00033317">
        <w:t>Vnmo</w:t>
      </w:r>
      <w:proofErr w:type="spellEnd"/>
      <w:r w:rsidRPr="00033317">
        <w:t xml:space="preserve">, η) </w:t>
      </w:r>
      <w:proofErr w:type="spellStart"/>
      <w:r w:rsidRPr="00033317">
        <w:t>framework</w:t>
      </w:r>
      <w:proofErr w:type="spellEnd"/>
      <w:r w:rsidRPr="00033317">
        <w:t xml:space="preserve"> used in Chapters 6–8.)</w:t>
      </w:r>
    </w:p>
    <w:p w14:paraId="169D560C" w14:textId="77777777" w:rsidR="00033317" w:rsidRPr="00033317" w:rsidRDefault="00033317" w:rsidP="00033317">
      <w:pPr>
        <w:numPr>
          <w:ilvl w:val="0"/>
          <w:numId w:val="1"/>
        </w:numPr>
      </w:pPr>
      <w:r w:rsidRPr="00033317">
        <w:rPr>
          <w:lang w:val="en-US"/>
        </w:rPr>
        <w:t xml:space="preserve">Grechka, V., &amp; Tsvankin, I. (1998). 3-D description of normal moveout in anisotropic inhomogeneous media. </w:t>
      </w:r>
      <w:proofErr w:type="spellStart"/>
      <w:r w:rsidRPr="00033317">
        <w:rPr>
          <w:i/>
          <w:iCs/>
        </w:rPr>
        <w:t>Geophysics</w:t>
      </w:r>
      <w:proofErr w:type="spellEnd"/>
      <w:r w:rsidRPr="00033317">
        <w:t>, 63, 1079–1092.</w:t>
      </w:r>
    </w:p>
    <w:p w14:paraId="2CFABA21" w14:textId="77777777" w:rsidR="00033317" w:rsidRPr="00033317" w:rsidRDefault="00033317" w:rsidP="00033317">
      <w:pPr>
        <w:numPr>
          <w:ilvl w:val="0"/>
          <w:numId w:val="1"/>
        </w:numPr>
        <w:rPr>
          <w:lang w:val="en-US"/>
        </w:rPr>
      </w:pPr>
      <w:proofErr w:type="spellStart"/>
      <w:r w:rsidRPr="00033317">
        <w:t>Tsvankin</w:t>
      </w:r>
      <w:proofErr w:type="spellEnd"/>
      <w:r w:rsidRPr="00033317">
        <w:t xml:space="preserve">, I., </w:t>
      </w:r>
      <w:proofErr w:type="spellStart"/>
      <w:r w:rsidRPr="00033317">
        <w:t>Gaiser</w:t>
      </w:r>
      <w:proofErr w:type="spellEnd"/>
      <w:r w:rsidRPr="00033317">
        <w:t xml:space="preserve">, J., </w:t>
      </w:r>
      <w:proofErr w:type="spellStart"/>
      <w:r w:rsidRPr="00033317">
        <w:t>Grechka</w:t>
      </w:r>
      <w:proofErr w:type="spellEnd"/>
      <w:r w:rsidRPr="00033317">
        <w:t xml:space="preserve">, V., van der </w:t>
      </w:r>
      <w:proofErr w:type="spellStart"/>
      <w:r w:rsidRPr="00033317">
        <w:t>Baan</w:t>
      </w:r>
      <w:proofErr w:type="spellEnd"/>
      <w:r w:rsidRPr="00033317">
        <w:t xml:space="preserve">, M., &amp; Thomsen, L. (2010). </w:t>
      </w:r>
      <w:r w:rsidRPr="00033317">
        <w:rPr>
          <w:lang w:val="en-US"/>
        </w:rPr>
        <w:t xml:space="preserve">Seismic anisotropy in exploration and reservoir characterization: An overview. </w:t>
      </w:r>
      <w:r w:rsidRPr="00033317">
        <w:rPr>
          <w:i/>
          <w:iCs/>
          <w:lang w:val="en-US"/>
        </w:rPr>
        <w:t>Geophysics</w:t>
      </w:r>
      <w:r w:rsidRPr="00033317">
        <w:rPr>
          <w:lang w:val="en-US"/>
        </w:rPr>
        <w:t>, 75, 75A15–75A29.</w:t>
      </w:r>
    </w:p>
    <w:p w14:paraId="0706D3E4" w14:textId="5C92BED1" w:rsidR="00D63F29" w:rsidRDefault="00033317" w:rsidP="00033317">
      <w:pPr>
        <w:numPr>
          <w:ilvl w:val="0"/>
          <w:numId w:val="1"/>
        </w:numPr>
      </w:pPr>
      <w:r w:rsidRPr="00033317">
        <w:rPr>
          <w:lang w:val="en-US"/>
        </w:rPr>
        <w:t xml:space="preserve">Helbig, K., &amp; Thomsen, L. (2005). 75-plus years of anisotropy in exploration and reservoir seismics: A historical review of concepts and methods. </w:t>
      </w:r>
      <w:proofErr w:type="spellStart"/>
      <w:r w:rsidRPr="00033317">
        <w:rPr>
          <w:i/>
          <w:iCs/>
        </w:rPr>
        <w:t>Geophysics</w:t>
      </w:r>
      <w:proofErr w:type="spellEnd"/>
      <w:r w:rsidRPr="00033317">
        <w:t>, 70, 9ND–23ND.</w:t>
      </w:r>
    </w:p>
    <w:sectPr w:rsidR="00D63F29">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8F70770"/>
    <w:multiLevelType w:val="multilevel"/>
    <w:tmpl w:val="EFA05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32407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6901"/>
    <w:rsid w:val="00033317"/>
    <w:rsid w:val="00320F57"/>
    <w:rsid w:val="00BB02F7"/>
    <w:rsid w:val="00BE0872"/>
    <w:rsid w:val="00D63F29"/>
    <w:rsid w:val="00FB6901"/>
  </w:rsids>
  <m:mathPr>
    <m:mathFont m:val="Cambria Math"/>
    <m:brkBin m:val="before"/>
    <m:brkBinSub m:val="--"/>
    <m:smallFrac m:val="0"/>
    <m:dispDef/>
    <m:lMargin m:val="0"/>
    <m:rMargin m:val="0"/>
    <m:defJc m:val="centerGroup"/>
    <m:wrapIndent m:val="1440"/>
    <m:intLim m:val="subSup"/>
    <m:naryLim m:val="undOvr"/>
  </m:mathPr>
  <w:themeFontLang w:val="nb-N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9D44D9"/>
  <w15:chartTrackingRefBased/>
  <w15:docId w15:val="{71790B4C-D89F-4C96-BBE5-F1B096D239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b-N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Overskrift1">
    <w:name w:val="heading 1"/>
    <w:basedOn w:val="Normal"/>
    <w:next w:val="Normal"/>
    <w:link w:val="Overskrift1Tegn"/>
    <w:uiPriority w:val="9"/>
    <w:qFormat/>
    <w:rsid w:val="00FB690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Overskrift2">
    <w:name w:val="heading 2"/>
    <w:basedOn w:val="Normal"/>
    <w:next w:val="Normal"/>
    <w:link w:val="Overskrift2Tegn"/>
    <w:uiPriority w:val="9"/>
    <w:semiHidden/>
    <w:unhideWhenUsed/>
    <w:qFormat/>
    <w:rsid w:val="00FB690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Overskrift3">
    <w:name w:val="heading 3"/>
    <w:basedOn w:val="Normal"/>
    <w:next w:val="Normal"/>
    <w:link w:val="Overskrift3Tegn"/>
    <w:uiPriority w:val="9"/>
    <w:semiHidden/>
    <w:unhideWhenUsed/>
    <w:qFormat/>
    <w:rsid w:val="00FB6901"/>
    <w:pPr>
      <w:keepNext/>
      <w:keepLines/>
      <w:spacing w:before="160" w:after="80"/>
      <w:outlineLvl w:val="2"/>
    </w:pPr>
    <w:rPr>
      <w:rFonts w:eastAsiaTheme="majorEastAsia" w:cstheme="majorBidi"/>
      <w:color w:val="0F4761" w:themeColor="accent1" w:themeShade="BF"/>
      <w:sz w:val="28"/>
      <w:szCs w:val="28"/>
    </w:rPr>
  </w:style>
  <w:style w:type="paragraph" w:styleId="Overskrift4">
    <w:name w:val="heading 4"/>
    <w:basedOn w:val="Normal"/>
    <w:next w:val="Normal"/>
    <w:link w:val="Overskrift4Tegn"/>
    <w:uiPriority w:val="9"/>
    <w:semiHidden/>
    <w:unhideWhenUsed/>
    <w:qFormat/>
    <w:rsid w:val="00FB6901"/>
    <w:pPr>
      <w:keepNext/>
      <w:keepLines/>
      <w:spacing w:before="80" w:after="40"/>
      <w:outlineLvl w:val="3"/>
    </w:pPr>
    <w:rPr>
      <w:rFonts w:eastAsiaTheme="majorEastAsia" w:cstheme="majorBidi"/>
      <w:i/>
      <w:iCs/>
      <w:color w:val="0F4761" w:themeColor="accent1" w:themeShade="BF"/>
    </w:rPr>
  </w:style>
  <w:style w:type="paragraph" w:styleId="Overskrift5">
    <w:name w:val="heading 5"/>
    <w:basedOn w:val="Normal"/>
    <w:next w:val="Normal"/>
    <w:link w:val="Overskrift5Tegn"/>
    <w:uiPriority w:val="9"/>
    <w:semiHidden/>
    <w:unhideWhenUsed/>
    <w:qFormat/>
    <w:rsid w:val="00FB6901"/>
    <w:pPr>
      <w:keepNext/>
      <w:keepLines/>
      <w:spacing w:before="80" w:after="40"/>
      <w:outlineLvl w:val="4"/>
    </w:pPr>
    <w:rPr>
      <w:rFonts w:eastAsiaTheme="majorEastAsia" w:cstheme="majorBidi"/>
      <w:color w:val="0F4761" w:themeColor="accent1" w:themeShade="BF"/>
    </w:rPr>
  </w:style>
  <w:style w:type="paragraph" w:styleId="Overskrift6">
    <w:name w:val="heading 6"/>
    <w:basedOn w:val="Normal"/>
    <w:next w:val="Normal"/>
    <w:link w:val="Overskrift6Tegn"/>
    <w:uiPriority w:val="9"/>
    <w:semiHidden/>
    <w:unhideWhenUsed/>
    <w:qFormat/>
    <w:rsid w:val="00FB6901"/>
    <w:pPr>
      <w:keepNext/>
      <w:keepLines/>
      <w:spacing w:before="40" w:after="0"/>
      <w:outlineLvl w:val="5"/>
    </w:pPr>
    <w:rPr>
      <w:rFonts w:eastAsiaTheme="majorEastAsia" w:cstheme="majorBidi"/>
      <w:i/>
      <w:iCs/>
      <w:color w:val="595959" w:themeColor="text1" w:themeTint="A6"/>
    </w:rPr>
  </w:style>
  <w:style w:type="paragraph" w:styleId="Overskrift7">
    <w:name w:val="heading 7"/>
    <w:basedOn w:val="Normal"/>
    <w:next w:val="Normal"/>
    <w:link w:val="Overskrift7Tegn"/>
    <w:uiPriority w:val="9"/>
    <w:semiHidden/>
    <w:unhideWhenUsed/>
    <w:qFormat/>
    <w:rsid w:val="00FB6901"/>
    <w:pPr>
      <w:keepNext/>
      <w:keepLines/>
      <w:spacing w:before="40" w:after="0"/>
      <w:outlineLvl w:val="6"/>
    </w:pPr>
    <w:rPr>
      <w:rFonts w:eastAsiaTheme="majorEastAsia" w:cstheme="majorBidi"/>
      <w:color w:val="595959" w:themeColor="text1" w:themeTint="A6"/>
    </w:rPr>
  </w:style>
  <w:style w:type="paragraph" w:styleId="Overskrift8">
    <w:name w:val="heading 8"/>
    <w:basedOn w:val="Normal"/>
    <w:next w:val="Normal"/>
    <w:link w:val="Overskrift8Tegn"/>
    <w:uiPriority w:val="9"/>
    <w:semiHidden/>
    <w:unhideWhenUsed/>
    <w:qFormat/>
    <w:rsid w:val="00FB6901"/>
    <w:pPr>
      <w:keepNext/>
      <w:keepLines/>
      <w:spacing w:after="0"/>
      <w:outlineLvl w:val="7"/>
    </w:pPr>
    <w:rPr>
      <w:rFonts w:eastAsiaTheme="majorEastAsia" w:cstheme="majorBidi"/>
      <w:i/>
      <w:iCs/>
      <w:color w:val="272727" w:themeColor="text1" w:themeTint="D8"/>
    </w:rPr>
  </w:style>
  <w:style w:type="paragraph" w:styleId="Overskrift9">
    <w:name w:val="heading 9"/>
    <w:basedOn w:val="Normal"/>
    <w:next w:val="Normal"/>
    <w:link w:val="Overskrift9Tegn"/>
    <w:uiPriority w:val="9"/>
    <w:semiHidden/>
    <w:unhideWhenUsed/>
    <w:qFormat/>
    <w:rsid w:val="00FB6901"/>
    <w:pPr>
      <w:keepNext/>
      <w:keepLines/>
      <w:spacing w:after="0"/>
      <w:outlineLvl w:val="8"/>
    </w:pPr>
    <w:rPr>
      <w:rFonts w:eastAsiaTheme="majorEastAsia" w:cstheme="majorBidi"/>
      <w:color w:val="272727" w:themeColor="text1" w:themeTint="D8"/>
    </w:rPr>
  </w:style>
  <w:style w:type="character" w:default="1" w:styleId="Standardskriftforavsnitt">
    <w:name w:val="Default Paragraph Font"/>
    <w:uiPriority w:val="1"/>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character" w:customStyle="1" w:styleId="Overskrift1Tegn">
    <w:name w:val="Overskrift 1 Tegn"/>
    <w:basedOn w:val="Standardskriftforavsnitt"/>
    <w:link w:val="Overskrift1"/>
    <w:uiPriority w:val="9"/>
    <w:rsid w:val="00FB6901"/>
    <w:rPr>
      <w:rFonts w:asciiTheme="majorHAnsi" w:eastAsiaTheme="majorEastAsia" w:hAnsiTheme="majorHAnsi" w:cstheme="majorBidi"/>
      <w:color w:val="0F4761" w:themeColor="accent1" w:themeShade="BF"/>
      <w:sz w:val="40"/>
      <w:szCs w:val="40"/>
    </w:rPr>
  </w:style>
  <w:style w:type="character" w:customStyle="1" w:styleId="Overskrift2Tegn">
    <w:name w:val="Overskrift 2 Tegn"/>
    <w:basedOn w:val="Standardskriftforavsnitt"/>
    <w:link w:val="Overskrift2"/>
    <w:uiPriority w:val="9"/>
    <w:semiHidden/>
    <w:rsid w:val="00FB6901"/>
    <w:rPr>
      <w:rFonts w:asciiTheme="majorHAnsi" w:eastAsiaTheme="majorEastAsia" w:hAnsiTheme="majorHAnsi" w:cstheme="majorBidi"/>
      <w:color w:val="0F4761" w:themeColor="accent1" w:themeShade="BF"/>
      <w:sz w:val="32"/>
      <w:szCs w:val="32"/>
    </w:rPr>
  </w:style>
  <w:style w:type="character" w:customStyle="1" w:styleId="Overskrift3Tegn">
    <w:name w:val="Overskrift 3 Tegn"/>
    <w:basedOn w:val="Standardskriftforavsnitt"/>
    <w:link w:val="Overskrift3"/>
    <w:uiPriority w:val="9"/>
    <w:semiHidden/>
    <w:rsid w:val="00FB6901"/>
    <w:rPr>
      <w:rFonts w:eastAsiaTheme="majorEastAsia" w:cstheme="majorBidi"/>
      <w:color w:val="0F4761" w:themeColor="accent1" w:themeShade="BF"/>
      <w:sz w:val="28"/>
      <w:szCs w:val="28"/>
    </w:rPr>
  </w:style>
  <w:style w:type="character" w:customStyle="1" w:styleId="Overskrift4Tegn">
    <w:name w:val="Overskrift 4 Tegn"/>
    <w:basedOn w:val="Standardskriftforavsnitt"/>
    <w:link w:val="Overskrift4"/>
    <w:uiPriority w:val="9"/>
    <w:semiHidden/>
    <w:rsid w:val="00FB6901"/>
    <w:rPr>
      <w:rFonts w:eastAsiaTheme="majorEastAsia" w:cstheme="majorBidi"/>
      <w:i/>
      <w:iCs/>
      <w:color w:val="0F4761" w:themeColor="accent1" w:themeShade="BF"/>
    </w:rPr>
  </w:style>
  <w:style w:type="character" w:customStyle="1" w:styleId="Overskrift5Tegn">
    <w:name w:val="Overskrift 5 Tegn"/>
    <w:basedOn w:val="Standardskriftforavsnitt"/>
    <w:link w:val="Overskrift5"/>
    <w:uiPriority w:val="9"/>
    <w:semiHidden/>
    <w:rsid w:val="00FB6901"/>
    <w:rPr>
      <w:rFonts w:eastAsiaTheme="majorEastAsia" w:cstheme="majorBidi"/>
      <w:color w:val="0F4761" w:themeColor="accent1" w:themeShade="BF"/>
    </w:rPr>
  </w:style>
  <w:style w:type="character" w:customStyle="1" w:styleId="Overskrift6Tegn">
    <w:name w:val="Overskrift 6 Tegn"/>
    <w:basedOn w:val="Standardskriftforavsnitt"/>
    <w:link w:val="Overskrift6"/>
    <w:uiPriority w:val="9"/>
    <w:semiHidden/>
    <w:rsid w:val="00FB6901"/>
    <w:rPr>
      <w:rFonts w:eastAsiaTheme="majorEastAsia" w:cstheme="majorBidi"/>
      <w:i/>
      <w:iCs/>
      <w:color w:val="595959" w:themeColor="text1" w:themeTint="A6"/>
    </w:rPr>
  </w:style>
  <w:style w:type="character" w:customStyle="1" w:styleId="Overskrift7Tegn">
    <w:name w:val="Overskrift 7 Tegn"/>
    <w:basedOn w:val="Standardskriftforavsnitt"/>
    <w:link w:val="Overskrift7"/>
    <w:uiPriority w:val="9"/>
    <w:semiHidden/>
    <w:rsid w:val="00FB6901"/>
    <w:rPr>
      <w:rFonts w:eastAsiaTheme="majorEastAsia" w:cstheme="majorBidi"/>
      <w:color w:val="595959" w:themeColor="text1" w:themeTint="A6"/>
    </w:rPr>
  </w:style>
  <w:style w:type="character" w:customStyle="1" w:styleId="Overskrift8Tegn">
    <w:name w:val="Overskrift 8 Tegn"/>
    <w:basedOn w:val="Standardskriftforavsnitt"/>
    <w:link w:val="Overskrift8"/>
    <w:uiPriority w:val="9"/>
    <w:semiHidden/>
    <w:rsid w:val="00FB6901"/>
    <w:rPr>
      <w:rFonts w:eastAsiaTheme="majorEastAsia" w:cstheme="majorBidi"/>
      <w:i/>
      <w:iCs/>
      <w:color w:val="272727" w:themeColor="text1" w:themeTint="D8"/>
    </w:rPr>
  </w:style>
  <w:style w:type="character" w:customStyle="1" w:styleId="Overskrift9Tegn">
    <w:name w:val="Overskrift 9 Tegn"/>
    <w:basedOn w:val="Standardskriftforavsnitt"/>
    <w:link w:val="Overskrift9"/>
    <w:uiPriority w:val="9"/>
    <w:semiHidden/>
    <w:rsid w:val="00FB6901"/>
    <w:rPr>
      <w:rFonts w:eastAsiaTheme="majorEastAsia" w:cstheme="majorBidi"/>
      <w:color w:val="272727" w:themeColor="text1" w:themeTint="D8"/>
    </w:rPr>
  </w:style>
  <w:style w:type="paragraph" w:styleId="Tittel">
    <w:name w:val="Title"/>
    <w:basedOn w:val="Normal"/>
    <w:next w:val="Normal"/>
    <w:link w:val="TittelTegn"/>
    <w:uiPriority w:val="10"/>
    <w:qFormat/>
    <w:rsid w:val="00FB69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telTegn">
    <w:name w:val="Tittel Tegn"/>
    <w:basedOn w:val="Standardskriftforavsnitt"/>
    <w:link w:val="Tittel"/>
    <w:uiPriority w:val="10"/>
    <w:rsid w:val="00FB6901"/>
    <w:rPr>
      <w:rFonts w:asciiTheme="majorHAnsi" w:eastAsiaTheme="majorEastAsia" w:hAnsiTheme="majorHAnsi" w:cstheme="majorBidi"/>
      <w:spacing w:val="-10"/>
      <w:kern w:val="28"/>
      <w:sz w:val="56"/>
      <w:szCs w:val="56"/>
    </w:rPr>
  </w:style>
  <w:style w:type="paragraph" w:styleId="Undertittel">
    <w:name w:val="Subtitle"/>
    <w:basedOn w:val="Normal"/>
    <w:next w:val="Normal"/>
    <w:link w:val="UndertittelTegn"/>
    <w:uiPriority w:val="11"/>
    <w:qFormat/>
    <w:rsid w:val="00FB6901"/>
    <w:pPr>
      <w:numPr>
        <w:ilvl w:val="1"/>
      </w:numPr>
    </w:pPr>
    <w:rPr>
      <w:rFonts w:eastAsiaTheme="majorEastAsia" w:cstheme="majorBidi"/>
      <w:color w:val="595959" w:themeColor="text1" w:themeTint="A6"/>
      <w:spacing w:val="15"/>
      <w:sz w:val="28"/>
      <w:szCs w:val="28"/>
    </w:rPr>
  </w:style>
  <w:style w:type="character" w:customStyle="1" w:styleId="UndertittelTegn">
    <w:name w:val="Undertittel Tegn"/>
    <w:basedOn w:val="Standardskriftforavsnitt"/>
    <w:link w:val="Undertittel"/>
    <w:uiPriority w:val="11"/>
    <w:rsid w:val="00FB6901"/>
    <w:rPr>
      <w:rFonts w:eastAsiaTheme="majorEastAsia" w:cstheme="majorBidi"/>
      <w:color w:val="595959" w:themeColor="text1" w:themeTint="A6"/>
      <w:spacing w:val="15"/>
      <w:sz w:val="28"/>
      <w:szCs w:val="28"/>
    </w:rPr>
  </w:style>
  <w:style w:type="paragraph" w:styleId="Sitat">
    <w:name w:val="Quote"/>
    <w:basedOn w:val="Normal"/>
    <w:next w:val="Normal"/>
    <w:link w:val="SitatTegn"/>
    <w:uiPriority w:val="29"/>
    <w:qFormat/>
    <w:rsid w:val="00FB6901"/>
    <w:pPr>
      <w:spacing w:before="160"/>
      <w:jc w:val="center"/>
    </w:pPr>
    <w:rPr>
      <w:i/>
      <w:iCs/>
      <w:color w:val="404040" w:themeColor="text1" w:themeTint="BF"/>
    </w:rPr>
  </w:style>
  <w:style w:type="character" w:customStyle="1" w:styleId="SitatTegn">
    <w:name w:val="Sitat Tegn"/>
    <w:basedOn w:val="Standardskriftforavsnitt"/>
    <w:link w:val="Sitat"/>
    <w:uiPriority w:val="29"/>
    <w:rsid w:val="00FB6901"/>
    <w:rPr>
      <w:i/>
      <w:iCs/>
      <w:color w:val="404040" w:themeColor="text1" w:themeTint="BF"/>
    </w:rPr>
  </w:style>
  <w:style w:type="paragraph" w:styleId="Listeavsnitt">
    <w:name w:val="List Paragraph"/>
    <w:basedOn w:val="Normal"/>
    <w:uiPriority w:val="34"/>
    <w:qFormat/>
    <w:rsid w:val="00FB6901"/>
    <w:pPr>
      <w:ind w:left="720"/>
      <w:contextualSpacing/>
    </w:pPr>
  </w:style>
  <w:style w:type="character" w:styleId="Sterkutheving">
    <w:name w:val="Intense Emphasis"/>
    <w:basedOn w:val="Standardskriftforavsnitt"/>
    <w:uiPriority w:val="21"/>
    <w:qFormat/>
    <w:rsid w:val="00FB6901"/>
    <w:rPr>
      <w:i/>
      <w:iCs/>
      <w:color w:val="0F4761" w:themeColor="accent1" w:themeShade="BF"/>
    </w:rPr>
  </w:style>
  <w:style w:type="paragraph" w:styleId="Sterktsitat">
    <w:name w:val="Intense Quote"/>
    <w:basedOn w:val="Normal"/>
    <w:next w:val="Normal"/>
    <w:link w:val="SterktsitatTegn"/>
    <w:uiPriority w:val="30"/>
    <w:qFormat/>
    <w:rsid w:val="00FB690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SterktsitatTegn">
    <w:name w:val="Sterkt sitat Tegn"/>
    <w:basedOn w:val="Standardskriftforavsnitt"/>
    <w:link w:val="Sterktsitat"/>
    <w:uiPriority w:val="30"/>
    <w:rsid w:val="00FB6901"/>
    <w:rPr>
      <w:i/>
      <w:iCs/>
      <w:color w:val="0F4761" w:themeColor="accent1" w:themeShade="BF"/>
    </w:rPr>
  </w:style>
  <w:style w:type="character" w:styleId="Sterkreferanse">
    <w:name w:val="Intense Reference"/>
    <w:basedOn w:val="Standardskriftforavsnitt"/>
    <w:uiPriority w:val="32"/>
    <w:qFormat/>
    <w:rsid w:val="00FB690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1846</Words>
  <Characters>9788</Characters>
  <Application>Microsoft Office Word</Application>
  <DocSecurity>0</DocSecurity>
  <Lines>81</Lines>
  <Paragraphs>23</Paragraphs>
  <ScaleCrop>false</ScaleCrop>
  <Company/>
  <LinksUpToDate>false</LinksUpToDate>
  <CharactersWithSpaces>11611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Inge Pettersen</dc:creator>
  <cp:keywords/>
  <dc:description/>
  <cp:lastModifiedBy>Inge Pettersen</cp:lastModifiedBy>
  <cp:revision>2</cp:revision>
  <dcterms:created xsi:type="dcterms:W3CDTF">2026-04-26T10:03:00Z</dcterms:created>
  <dcterms:modified xsi:type="dcterms:W3CDTF">2026-04-26T10:04:00Z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978bf43a-ab0d-4d61-8356-094c44b4fb41</vt:lpwstr>
  </property>
</Properties>
</file>