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773" w:type="dxa"/>
        <w:jc w:val="center"/>
        <w:tblLayout w:type="fixed"/>
        <w:tblLook w:val="0420" w:firstRow="1" w:lastRow="0" w:firstColumn="0" w:lastColumn="0" w:noHBand="0" w:noVBand="1"/>
      </w:tblPr>
      <w:tblGrid>
        <w:gridCol w:w="3969"/>
        <w:gridCol w:w="4872"/>
        <w:gridCol w:w="1932"/>
      </w:tblGrid>
      <w:tr w:rsidR="003564D1" w14:paraId="4ECD118E" w14:textId="77777777" w:rsidTr="00156D4D">
        <w:trPr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D118B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D118C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93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D118D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(N = 271)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3564D1" w14:paraId="4ECD1192" w14:textId="77777777" w:rsidTr="00156D4D">
        <w:trPr>
          <w:jc w:val="center"/>
        </w:trPr>
        <w:tc>
          <w:tcPr>
            <w:tcW w:w="39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8F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**Study characteristics — n (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%)*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</w:t>
            </w:r>
          </w:p>
        </w:tc>
        <w:tc>
          <w:tcPr>
            <w:tcW w:w="487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0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Study design</w:t>
            </w:r>
          </w:p>
        </w:tc>
        <w:tc>
          <w:tcPr>
            <w:tcW w:w="193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1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564D1" w14:paraId="4ECD119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3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4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Case-control study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5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(19.9%)</w:t>
            </w:r>
          </w:p>
        </w:tc>
      </w:tr>
      <w:tr w:rsidR="003564D1" w14:paraId="4ECD119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7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8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Cohort study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9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 (74.5%)</w:t>
            </w:r>
          </w:p>
        </w:tc>
      </w:tr>
      <w:tr w:rsidR="003564D1" w14:paraId="4ECD119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B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C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Cross-sectional study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D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(4.1%)</w:t>
            </w:r>
          </w:p>
        </w:tc>
      </w:tr>
      <w:tr w:rsidR="003564D1" w14:paraId="4ECD11A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9F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0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Other/not specified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1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(1.5%)</w:t>
            </w:r>
          </w:p>
        </w:tc>
      </w:tr>
      <w:tr w:rsidR="003564D1" w14:paraId="4ECD11A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3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4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Publication year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5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564D1" w14:paraId="4ECD11A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7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8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2010–2014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9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 (30.3%)</w:t>
            </w:r>
          </w:p>
        </w:tc>
      </w:tr>
      <w:tr w:rsidR="003564D1" w14:paraId="4ECD11A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B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C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2015–2019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D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 (32.1%)</w:t>
            </w:r>
          </w:p>
        </w:tc>
      </w:tr>
      <w:tr w:rsidR="003564D1" w14:paraId="4ECD11B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AF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0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2020–2024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1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 (37.6%)</w:t>
            </w:r>
          </w:p>
        </w:tc>
      </w:tr>
      <w:tr w:rsidR="003564D1" w14:paraId="4ECD11B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3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4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Facility type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5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564D1" w14:paraId="4ECD11B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7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8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9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(7.5%)</w:t>
            </w:r>
          </w:p>
        </w:tc>
      </w:tr>
      <w:tr w:rsidR="003564D1" w14:paraId="4ECD11B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B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C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D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(0.7%)</w:t>
            </w:r>
          </w:p>
        </w:tc>
      </w:tr>
      <w:tr w:rsidR="003564D1" w14:paraId="4ECD11C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BF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0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1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(1.9%)</w:t>
            </w:r>
          </w:p>
        </w:tc>
      </w:tr>
      <w:tr w:rsidR="003564D1" w14:paraId="4ECD11C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3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4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Tertiary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5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 (66.0%)</w:t>
            </w:r>
          </w:p>
        </w:tc>
      </w:tr>
      <w:tr w:rsidR="003564D1" w14:paraId="4ECD11C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7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8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Unknown/unclear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9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 (23.9%)</w:t>
            </w:r>
          </w:p>
        </w:tc>
      </w:tr>
      <w:tr w:rsidR="003564D1" w14:paraId="4ECD11C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B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C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Population risk groups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D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564D1" w14:paraId="4ECD11D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CF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0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 risk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1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 (25.5%)</w:t>
            </w:r>
          </w:p>
        </w:tc>
      </w:tr>
      <w:tr w:rsidR="003564D1" w14:paraId="4ECD11D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3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4" w14:textId="24567FF2" w:rsidR="003564D1" w:rsidRDefault="003324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  <w:r w:rsidR="00156D4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or unspecified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5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 (74.5%)</w:t>
            </w:r>
          </w:p>
        </w:tc>
      </w:tr>
      <w:tr w:rsidR="003564D1" w14:paraId="4ECD11D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7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8" w14:textId="77777777" w:rsidR="003564D1" w:rsidRDefault="00156D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Population age categories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9" w14:textId="77777777" w:rsidR="003564D1" w:rsidRDefault="003564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33D56" w14:paraId="64CC10AD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101A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95C87" w14:textId="6FB6FD3B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47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Neonates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F805C" w14:textId="5A1DC3A2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(4.4%)</w:t>
            </w:r>
          </w:p>
        </w:tc>
      </w:tr>
      <w:tr w:rsidR="00033D56" w14:paraId="4E3DDC40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91C6E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7FC2E" w14:textId="63495034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47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Pediatrics incl. neonates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26B5F" w14:textId="0E96CD9C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(4.8%)</w:t>
            </w:r>
          </w:p>
        </w:tc>
      </w:tr>
      <w:tr w:rsidR="00033D56" w14:paraId="4ECD11D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C" w14:textId="35DD27BA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Pediatrics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D" w14:textId="0049D068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(5.5%)</w:t>
            </w:r>
          </w:p>
        </w:tc>
      </w:tr>
      <w:tr w:rsidR="00033D56" w14:paraId="4ECD11E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D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0" w14:textId="42ECBCE2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Adults &amp; pediatrics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1" w14:textId="0F16FC2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(4.1%)</w:t>
            </w:r>
          </w:p>
        </w:tc>
      </w:tr>
      <w:tr w:rsidR="00033D56" w14:paraId="4ECD11E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4" w14:textId="2CA6EC24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Adults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5" w14:textId="1ABDF899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 (57.9%)</w:t>
            </w:r>
          </w:p>
        </w:tc>
      </w:tr>
      <w:tr w:rsidR="00033D56" w14:paraId="4ECD11E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8" w14:textId="2A42B78E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All ages or not specified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E9" w14:textId="5C8890E2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 (23.2%)</w:t>
            </w:r>
          </w:p>
        </w:tc>
      </w:tr>
      <w:tr w:rsidR="00033D56" w14:paraId="4ECD11F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**BSI suspected source — n (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%)*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</w:t>
            </w: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4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Respiratory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 (48.5%)</w:t>
            </w:r>
          </w:p>
        </w:tc>
      </w:tr>
      <w:tr w:rsidR="00033D56" w14:paraId="4ECD11F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Urinary tract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125 (46.6%)</w:t>
            </w:r>
          </w:p>
        </w:tc>
      </w:tr>
      <w:tr w:rsidR="00033D56" w14:paraId="4ECD11F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Intra-abdominal/gastrointestinal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115 (42.9%)</w:t>
            </w:r>
          </w:p>
        </w:tc>
      </w:tr>
      <w:tr w:rsidR="00033D56" w14:paraId="4ECD120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1F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0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Skin-soft tissue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1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(35.8%)</w:t>
            </w:r>
          </w:p>
        </w:tc>
      </w:tr>
      <w:tr w:rsidR="00033D56" w14:paraId="4ECD120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4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Device-related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 (34.3%)</w:t>
            </w:r>
          </w:p>
        </w:tc>
      </w:tr>
      <w:tr w:rsidR="00033D56" w14:paraId="4ECD120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 (25.7%)</w:t>
            </w:r>
          </w:p>
        </w:tc>
      </w:tr>
      <w:tr w:rsidR="00033D56" w14:paraId="4ECD120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Bone/joint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(14.2%)</w:t>
            </w:r>
          </w:p>
        </w:tc>
      </w:tr>
      <w:tr w:rsidR="00033D56" w14:paraId="4ECD121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0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0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Surgical site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1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(7.5%)</w:t>
            </w:r>
          </w:p>
        </w:tc>
      </w:tr>
      <w:tr w:rsidR="00033D56" w14:paraId="4ECD121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4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Unknown/unspecified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(NA%)</w:t>
            </w:r>
          </w:p>
        </w:tc>
      </w:tr>
      <w:tr w:rsidR="00033D56" w14:paraId="4ECD121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(40.3%)</w:t>
            </w:r>
          </w:p>
        </w:tc>
      </w:tr>
      <w:tr w:rsidR="00033D56" w14:paraId="4ECD121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BSI source type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33D56" w14:paraId="4ECD122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1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0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1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150 (89.3%)</w:t>
            </w:r>
          </w:p>
        </w:tc>
      </w:tr>
      <w:tr w:rsidR="00033D56" w14:paraId="4ECD122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4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Unique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(10.7%)</w:t>
            </w:r>
          </w:p>
        </w:tc>
      </w:tr>
      <w:tr w:rsidR="00033D56" w14:paraId="4ECD122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7" w14:textId="6F40A61D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**</w:t>
            </w:r>
            <w:r w:rsidR="00156D4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Acquisition of infection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— n (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%)*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</w:t>
            </w: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Hospital-acquired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 (53.9%)</w:t>
            </w:r>
          </w:p>
        </w:tc>
      </w:tr>
      <w:tr w:rsidR="00033D56" w14:paraId="4ECD122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Community-acquired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 (45.0%)</w:t>
            </w:r>
          </w:p>
        </w:tc>
      </w:tr>
      <w:tr w:rsidR="00033D56" w14:paraId="4ECD123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2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0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Healthcare-associated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1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94 (34.9%)</w:t>
            </w:r>
          </w:p>
        </w:tc>
      </w:tr>
      <w:tr w:rsidR="00033D56" w14:paraId="4ECD123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4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Unknown/unspecified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106 (39.4%)</w:t>
            </w:r>
          </w:p>
        </w:tc>
      </w:tr>
      <w:tr w:rsidR="00033D56" w14:paraId="4ECD123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(0.7%)</w:t>
            </w:r>
          </w:p>
        </w:tc>
      </w:tr>
      <w:tr w:rsidR="00033D56" w14:paraId="4ECD123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Infection origin type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33D56" w14:paraId="4ECD1242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3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0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1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(63.0%)</w:t>
            </w:r>
          </w:p>
        </w:tc>
      </w:tr>
      <w:tr w:rsidR="00033D56" w14:paraId="4ECD1246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3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4" w14:textId="18A25727" w:rsidR="00033D56" w:rsidRDefault="00C63E1A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Single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5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 (37.0%)</w:t>
            </w:r>
          </w:p>
        </w:tc>
      </w:tr>
      <w:tr w:rsidR="00033D56" w14:paraId="4ECD124A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7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**Total population**</w:t>
            </w: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8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 resistant population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9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159,119</w:t>
            </w:r>
          </w:p>
        </w:tc>
      </w:tr>
      <w:tr w:rsidR="00033D56" w14:paraId="4ECD124E" w14:textId="77777777" w:rsidTr="00156D4D">
        <w:trPr>
          <w:jc w:val="center"/>
        </w:trPr>
        <w:tc>
          <w:tcPr>
            <w:tcW w:w="39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B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87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C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 susceptible population</w:t>
            </w:r>
          </w:p>
        </w:tc>
        <w:tc>
          <w:tcPr>
            <w:tcW w:w="193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D124D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318,047</w:t>
            </w:r>
          </w:p>
        </w:tc>
      </w:tr>
      <w:tr w:rsidR="00033D56" w14:paraId="4ECD1250" w14:textId="77777777" w:rsidTr="00156D4D">
        <w:trPr>
          <w:jc w:val="center"/>
        </w:trPr>
        <w:tc>
          <w:tcPr>
            <w:tcW w:w="10773" w:type="dxa"/>
            <w:gridSpan w:val="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D124F" w14:textId="77777777" w:rsidR="00033D56" w:rsidRDefault="00033D56" w:rsidP="00033D5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4ECD1251" w14:textId="77777777" w:rsidR="00156D4D" w:rsidRDefault="00156D4D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18109952">
    <w:abstractNumId w:val="1"/>
  </w:num>
  <w:num w:numId="2" w16cid:durableId="594166048">
    <w:abstractNumId w:val="2"/>
  </w:num>
  <w:num w:numId="3" w16cid:durableId="1442804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4D1"/>
    <w:rsid w:val="00033D56"/>
    <w:rsid w:val="00156D4D"/>
    <w:rsid w:val="003324A5"/>
    <w:rsid w:val="003564D1"/>
    <w:rsid w:val="00C6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D118B"/>
  <w15:docId w15:val="{42B4E177-9D56-48B3-979C-677E92724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Krystel Moussally</cp:lastModifiedBy>
  <cp:revision>13</cp:revision>
  <dcterms:created xsi:type="dcterms:W3CDTF">2017-02-28T11:18:00Z</dcterms:created>
  <dcterms:modified xsi:type="dcterms:W3CDTF">2025-11-10T07:22:00Z</dcterms:modified>
  <cp:category/>
</cp:coreProperties>
</file>