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61"/>
        <w:gridCol w:w="4872"/>
        <w:gridCol w:w="2141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(N = 271)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**Study characteristics — n (%)**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Study design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Case-control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 (19.9%)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Cohort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(74.5%)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Cross-sectional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(4.1%)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Other/not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(1.5%)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Publication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2010–2014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 (30.3%)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2015–2019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 (32.1%)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2020–2024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(37.6%)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Facility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(7.5%)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(0.7%)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(1.9%)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 (66.0%)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Unknown/unclear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(23.9%)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Population risk groups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 (25.5%)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regular, several populations, or unspecified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(74.5%)</w:t>
            </w:r>
          </w:p>
        </w:tc>
      </w:tr>
      <w:tr>
        <w:trPr>
          <w:trHeight w:val="61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Population age categories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(57.9%)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Adults &amp; pediatrics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(4.1%)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All ages or not 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(23.2%)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Neonates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(4.4%)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(5.5%)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Pediatrics incl. neonates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 (4.8%)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**BSI suspected source — n (%)**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Respiratory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 (48.5%)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Urinary tract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 (46.6%)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Intra-abdominal/gastrointestinal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 (42.9%)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Skin-soft tissue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 (35.8%)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Device-related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 (34.3%)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 (25.7%)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Bone/joint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(14.2%)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Surgical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(7.5%)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Unknown/unspecified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(NA%)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 (40.3%)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BSI source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 (89.3%)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(10.7%)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**Infection origin — n (%)**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Hospital-acquired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 (53.9%)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Community-acquired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 (45.0%)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Healthcare-associated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(34.9%)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Unknown/unspecified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(39.4%)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(0.7%)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Infection origin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 (63.0%)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 (37.0%)</w:t>
            </w:r>
          </w:p>
        </w:tc>
      </w:tr>
      <w:tr>
        <w:trPr>
          <w:trHeight w:val="615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**Total population**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resistant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159,119</w:t>
            </w:r>
          </w:p>
        </w:tc>
      </w:tr>
      <w:tr>
        <w:trPr>
          <w:trHeight w:val="612" w:hRule="auto"/>
        </w:trPr>
        body48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susceptible population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318,047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2025-11-02T20:18:54Z</dcterms:modified>
  <cp:category/>
</cp:coreProperties>
</file>