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FFFFFF"/>
          <w:sz w:val="72"/>
          <w:szCs w:val="72"/>
          <w:shd w:fill="3185A3" w:val="clear"/>
        </w:rPr>
        <w:t xml:space="preserve">CG</w:t>
      </w:r>
    </w:p>
    <w:p>
      <w:pPr>
        <w:spacing w:after="80" w:before="240"/>
        <w:jc w:val="center"/>
      </w:pPr>
      <w:r>
        <w:rPr>
          <w:rFonts w:ascii="Arial" w:cs="Arial" w:eastAsia="Arial" w:hAnsi="Arial"/>
          <w:b/>
          <w:bCs/>
          <w:color w:val="1F5F78"/>
          <w:sz w:val="48"/>
          <w:szCs w:val="48"/>
        </w:rPr>
        <w:t xml:space="preserve">Culebras Group Field App</w:t>
      </w:r>
    </w:p>
    <w:p>
      <w:pPr>
        <w:spacing w:after="40" w:before="40"/>
        <w:jc w:val="center"/>
      </w:pPr>
      <w:r>
        <w:rPr>
          <w:rFonts w:ascii="Arial" w:cs="Arial" w:eastAsia="Arial" w:hAnsi="Arial"/>
          <w:color w:val="666666"/>
          <w:sz w:val="28"/>
          <w:szCs w:val="28"/>
        </w:rPr>
        <w:t xml:space="preserve">Documento Técnico · Versión 2.0</w:t>
      </w:r>
    </w:p>
    <w:p>
      <w:pPr>
        <w:spacing w:after="40" w:before="40"/>
        <w:jc w:val="center"/>
      </w:pPr>
      <w:r>
        <w:rPr>
          <w:rFonts w:ascii="Arial" w:cs="Arial" w:eastAsia="Arial" w:hAnsi="Arial"/>
          <w:color w:val="666666"/>
          <w:sz w:val="24"/>
          <w:szCs w:val="24"/>
        </w:rPr>
        <w:t xml:space="preserve">Junio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3185A3" w:sz="16"/>
              <w:bottom w:val="none"/>
              <w:right w:val="none"/>
            </w:tcBorders>
            <w:shd w:fill="EBF5FA" w:val="clear"/>
            <w:tcMar>
              <w:top w:type="dxa" w:w="120"/>
              <w:left w:type="dxa" w:w="200"/>
              <w:bottom w:type="dxa" w:w="120"/>
              <w:right w:type="dxa" w:w="200"/>
            </w:tcMar>
          </w:tcPr>
          <w:p>
            <w:r>
              <w:rPr>
                <w:rFonts w:ascii="Arial" w:cs="Arial" w:eastAsia="Arial" w:hAnsi="Arial"/>
                <w:color w:val="666666"/>
                <w:sz w:val="20"/>
                <w:szCs w:val="20"/>
              </w:rPr>
              <w:t xml:space="preserve">Desarrollado por:</w:t>
            </w:r>
          </w:p>
          <w:p>
            <w:r>
              <w:rPr>
                <w:rFonts w:ascii="Arial" w:cs="Arial" w:eastAsia="Arial" w:hAnsi="Arial"/>
                <w:b/>
                <w:bCs/>
                <w:color w:val="1F5F78"/>
                <w:sz w:val="26"/>
                <w:szCs w:val="26"/>
              </w:rPr>
              <w:t xml:space="preserve">Ing. Juan Carlos Espinoza González</w:t>
            </w:r>
          </w:p>
          <w:p>
            <w:r>
              <w:rPr>
                <w:rFonts w:ascii="Arial" w:cs="Arial" w:eastAsia="Arial" w:hAnsi="Arial"/>
                <w:color w:val="666666"/>
                <w:sz w:val="20"/>
                <w:szCs w:val="20"/>
              </w:rPr>
              <w:t xml:space="preserve">Director de Proyectos · Culebras Group · CFIA IC-25987</w:t>
            </w:r>
          </w:p>
        </w:tc>
      </w:tr>
    </w:tbl>
    <w:p>
      <w:pPr>
        <w:spacing w:after="80" w:before="80"/>
      </w:pPr>
      <w:r>
        <w:t xml:space="preserve"/>
      </w:r>
    </w:p>
    <w:p>
      <w:pPr>
        <w:pStyle w:val="Heading1"/>
        <w:spacing w:after="120" w:before="360"/>
      </w:pPr>
      <w:r>
        <w:rPr>
          <w:rFonts w:ascii="Arial" w:cs="Arial" w:eastAsia="Arial" w:hAnsi="Arial"/>
          <w:b/>
          <w:bCs/>
          <w:color w:val="1F5F78"/>
          <w:sz w:val="32"/>
          <w:szCs w:val="32"/>
        </w:rPr>
        <w:t xml:space="preserve">1. Descripción General</w:t>
      </w:r>
    </w:p>
    <w:p>
      <w:pPr>
        <w:spacing w:after="60" w:before="60"/>
      </w:pPr>
      <w:r>
        <w:rPr>
          <w:rFonts w:ascii="Arial" w:cs="Arial" w:eastAsia="Arial" w:hAnsi="Arial"/>
          <w:sz w:val="22"/>
          <w:szCs w:val="22"/>
        </w:rPr>
        <w:t xml:space="preserve">La Culebras Group Field App es una herramienta web para ingenieros y directores de proyectos de construcción residencial. Funciona directamente desde el navegador Chrome en cualquier dispositivo (teléfono, tablet o computadora) y desde la versión 2.0 sincroniza los datos en tiempo real a través de Firebase, permitiendo que todos los miembros del equipo vean la misma información actualizada.</w:t>
      </w:r>
    </w:p>
    <w:p>
      <w:pPr>
        <w:spacing w:after="80" w:before="80"/>
      </w:pPr>
      <w:r>
        <w:t xml:space="preserve"/>
      </w:r>
    </w:p>
    <w:p>
      <w:pPr>
        <w:pStyle w:val="Heading1"/>
        <w:spacing w:after="120" w:before="360"/>
      </w:pPr>
      <w:r>
        <w:rPr>
          <w:rFonts w:ascii="Arial" w:cs="Arial" w:eastAsia="Arial" w:hAnsi="Arial"/>
          <w:b/>
          <w:bCs/>
          <w:color w:val="1F5F78"/>
          <w:sz w:val="32"/>
          <w:szCs w:val="32"/>
        </w:rPr>
        <w:t xml:space="preserve">2. Acceso a la Aplicación</w:t>
      </w:r>
    </w:p>
    <w:p>
      <w:pPr>
        <w:pStyle w:val="Heading2"/>
        <w:pBdr>
          <w:bottom w:val="single" w:color="3185A3" w:sz="4" w:space="1"/>
        </w:pBdr>
        <w:spacing w:after="80" w:before="240"/>
      </w:pPr>
      <w:r>
        <w:rPr>
          <w:rFonts w:ascii="Arial" w:cs="Arial" w:eastAsia="Arial" w:hAnsi="Arial"/>
          <w:b/>
          <w:bCs/>
          <w:color w:val="3185A3"/>
          <w:sz w:val="26"/>
          <w:szCs w:val="26"/>
        </w:rPr>
        <w:t xml:space="preserve">2.1 URL de acceso</w:t>
      </w:r>
    </w:p>
    <w:p>
      <w:pPr>
        <w:spacing w:after="60" w:before="60"/>
      </w:pPr>
      <w:r>
        <w:rPr>
          <w:rFonts w:ascii="Arial" w:cs="Arial" w:eastAsia="Arial" w:hAnsi="Arial"/>
          <w:sz w:val="22"/>
          <w:szCs w:val="22"/>
        </w:rPr>
        <w:t xml:space="preserve">La aplicación se accede desde cualquier navegador mediante la URL publicada en Netlify: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5A3" w:sz="4"/>
              <w:left w:val="single" w:color="3185A3" w:sz="12"/>
              <w:bottom w:val="single" w:color="3185A3" w:sz="4"/>
              <w:right w:val="none" w:color="FFFFFF" w:sz="0"/>
            </w:tcBorders>
            <w:shd w:fill="EBF5FA" w:val="clear"/>
            <w:tcMar>
              <w:top w:type="dxa" w:w="100"/>
              <w:left w:type="dxa" w:w="180"/>
              <w:bottom w:type="dxa" w:w="100"/>
              <w:right w:type="dxa" w:w="120"/>
            </w:tcMar>
          </w:tcPr>
          <w:p>
            <w:r>
              <w:rPr>
                <w:rFonts w:ascii="Arial" w:cs="Arial" w:eastAsia="Arial" w:hAnsi="Arial"/>
                <w:color w:val="1F5F78"/>
                <w:sz w:val="22"/>
                <w:szCs w:val="22"/>
              </w:rPr>
              <w:t xml:space="preserve">URL: https://culebras-field.netlify.app  (o la URL asignada al publicar)</w:t>
            </w:r>
          </w:p>
        </w:tc>
      </w:tr>
    </w:tbl>
    <w:p>
      <w:pPr>
        <w:spacing w:after="80" w:before="80"/>
      </w:pPr>
      <w:r>
        <w:t xml:space="preserve"/>
      </w:r>
    </w:p>
    <w:p>
      <w:pPr>
        <w:spacing w:after="60" w:before="60"/>
      </w:pPr>
      <w:r>
        <w:rPr>
          <w:rFonts w:ascii="Arial" w:cs="Arial" w:eastAsia="Arial" w:hAnsi="Arial"/>
          <w:sz w:val="22"/>
          <w:szCs w:val="22"/>
        </w:rPr>
        <w:t xml:space="preserve">No se requiere instalación. En Chrome móvil se puede agregar a la pantalla de inicio: menú (⋮) → "Agregar a pantalla de inicio".</w:t>
      </w:r>
    </w:p>
    <w:p>
      <w:pPr>
        <w:spacing w:after="80" w:before="80"/>
      </w:pPr>
      <w:r>
        <w:t xml:space="preserve"/>
      </w:r>
    </w:p>
    <w:p>
      <w:pPr>
        <w:pStyle w:val="Heading2"/>
        <w:pBdr>
          <w:bottom w:val="single" w:color="3185A3" w:sz="4" w:space="1"/>
        </w:pBdr>
        <w:spacing w:after="80" w:before="240"/>
      </w:pPr>
      <w:r>
        <w:rPr>
          <w:rFonts w:ascii="Arial" w:cs="Arial" w:eastAsia="Arial" w:hAnsi="Arial"/>
          <w:b/>
          <w:bCs/>
          <w:color w:val="3185A3"/>
          <w:sz w:val="26"/>
          <w:szCs w:val="26"/>
        </w:rPr>
        <w:t xml:space="preserve">2.2 Sistema de proyectos y claves</w:t>
      </w:r>
    </w:p>
    <w:p>
      <w:pPr>
        <w:spacing w:after="60" w:before="60"/>
      </w:pPr>
      <w:r>
        <w:rPr>
          <w:rFonts w:ascii="Arial" w:cs="Arial" w:eastAsia="Arial" w:hAnsi="Arial"/>
          <w:sz w:val="22"/>
          <w:szCs w:val="22"/>
        </w:rPr>
        <w:t xml:space="preserve">La app organiza toda la información por proyecto. Cada proyecto tiene una clave de acceso independiente.</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Crear proyecto: </w:t>
      </w:r>
      <w:r>
        <w:rPr>
          <w:rFonts w:ascii="Arial" w:cs="Arial" w:eastAsia="Arial" w:hAnsi="Arial"/>
          <w:sz w:val="22"/>
          <w:szCs w:val="22"/>
        </w:rPr>
        <w:t xml:space="preserve">Solo el administrador (Ing. Juan Carlos Espinoza) puede crear nuevos proyectos, usando el PIN maestro.</w:t>
      </w:r>
    </w:p>
    <w:p>
      <w:pPr>
        <w:pStyle w:val="ListParagraph"/>
        <w:numPr>
          <w:ilvl w:val="0"/>
          <w:numId w:val="2"/>
        </w:numPr>
        <w:spacing w:after="40" w:before="40"/>
      </w:pPr>
      <w:r>
        <w:rPr>
          <w:rFonts w:ascii="Arial" w:cs="Arial" w:eastAsia="Arial" w:hAnsi="Arial"/>
          <w:b/>
          <w:bCs/>
          <w:sz w:val="22"/>
          <w:szCs w:val="22"/>
        </w:rPr>
        <w:t xml:space="preserve">Clave de acceso: </w:t>
      </w:r>
      <w:r>
        <w:rPr>
          <w:rFonts w:ascii="Arial" w:cs="Arial" w:eastAsia="Arial" w:hAnsi="Arial"/>
          <w:sz w:val="22"/>
          <w:szCs w:val="22"/>
        </w:rPr>
        <w:t xml:space="preserve">Cada proyecto tiene un nombre, descripción y una clave de acceso definida al crearlo.</w:t>
      </w:r>
    </w:p>
    <w:p>
      <w:pPr>
        <w:pStyle w:val="ListParagraph"/>
        <w:numPr>
          <w:ilvl w:val="0"/>
          <w:numId w:val="2"/>
        </w:numPr>
        <w:spacing w:after="40" w:before="40"/>
      </w:pPr>
      <w:r>
        <w:rPr>
          <w:rFonts w:ascii="Arial" w:cs="Arial" w:eastAsia="Arial" w:hAnsi="Arial"/>
          <w:b/>
          <w:bCs/>
          <w:sz w:val="22"/>
          <w:szCs w:val="22"/>
        </w:rPr>
        <w:t xml:space="preserve">Ingresar: </w:t>
      </w:r>
      <w:r>
        <w:rPr>
          <w:rFonts w:ascii="Arial" w:cs="Arial" w:eastAsia="Arial" w:hAnsi="Arial"/>
          <w:sz w:val="22"/>
          <w:szCs w:val="22"/>
        </w:rPr>
        <w:t xml:space="preserve">El residente selecciona su proyecto en la lista y escribe la clave para ingresar.</w:t>
      </w:r>
    </w:p>
    <w:p>
      <w:pPr>
        <w:pStyle w:val="ListParagraph"/>
        <w:numPr>
          <w:ilvl w:val="0"/>
          <w:numId w:val="2"/>
        </w:numPr>
        <w:spacing w:after="40" w:before="40"/>
      </w:pPr>
      <w:r>
        <w:rPr>
          <w:rFonts w:ascii="Arial" w:cs="Arial" w:eastAsia="Arial" w:hAnsi="Arial"/>
          <w:b/>
          <w:bCs/>
          <w:sz w:val="22"/>
          <w:szCs w:val="22"/>
        </w:rPr>
        <w:t xml:space="preserve">Recuperar clave: </w:t>
      </w:r>
      <w:r>
        <w:rPr>
          <w:rFonts w:ascii="Arial" w:cs="Arial" w:eastAsia="Arial" w:hAnsi="Arial"/>
          <w:sz w:val="22"/>
          <w:szCs w:val="22"/>
        </w:rPr>
        <w:t xml:space="preserve">Si se olvida la clave, el administrador puede resetearla con el PIN maestro.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5A3" w:sz="4"/>
              <w:left w:val="single" w:color="3185A3" w:sz="12"/>
              <w:bottom w:val="single" w:color="3185A3" w:sz="4"/>
              <w:right w:val="none" w:color="FFFFFF" w:sz="0"/>
            </w:tcBorders>
            <w:shd w:fill="EBF5FA" w:val="clear"/>
            <w:tcMar>
              <w:top w:type="dxa" w:w="100"/>
              <w:left w:type="dxa" w:w="180"/>
              <w:bottom w:type="dxa" w:w="100"/>
              <w:right w:type="dxa" w:w="120"/>
            </w:tcMar>
          </w:tcPr>
          <w:p>
            <w:r>
              <w:rPr>
                <w:rFonts w:ascii="Arial" w:cs="Arial" w:eastAsia="Arial" w:hAnsi="Arial"/>
                <w:color w:val="1F5F78"/>
                <w:sz w:val="22"/>
                <w:szCs w:val="22"/>
              </w:rPr>
              <w:t xml:space="preserve">PIN maestro de administrador: 1234  —  No compartir con residentes.</w:t>
            </w:r>
          </w:p>
        </w:tc>
      </w:tr>
    </w:tbl>
    <w:p>
      <w:pPr>
        <w:spacing w:after="80" w:before="80"/>
      </w:pPr>
      <w:r>
        <w:t xml:space="preserve"/>
      </w:r>
    </w:p>
    <w:p>
      <w:pPr>
        <w:pStyle w:val="Heading2"/>
        <w:pBdr>
          <w:bottom w:val="single" w:color="3185A3" w:sz="4" w:space="1"/>
        </w:pBdr>
        <w:spacing w:after="80" w:before="240"/>
      </w:pPr>
      <w:r>
        <w:rPr>
          <w:rFonts w:ascii="Arial" w:cs="Arial" w:eastAsia="Arial" w:hAnsi="Arial"/>
          <w:b/>
          <w:bCs/>
          <w:color w:val="3185A3"/>
          <w:sz w:val="26"/>
          <w:szCs w:val="26"/>
        </w:rPr>
        <w:t xml:space="preserve">2.3 Indicador de conexión</w:t>
      </w:r>
    </w:p>
    <w:p>
      <w:pPr>
        <w:spacing w:after="60" w:before="60"/>
      </w:pPr>
      <w:r>
        <w:rPr>
          <w:rFonts w:ascii="Arial" w:cs="Arial" w:eastAsia="Arial" w:hAnsi="Arial"/>
          <w:sz w:val="22"/>
          <w:szCs w:val="22"/>
        </w:rPr>
        <w:t xml:space="preserve">En el topbar de la app aparece un punto de color que indica el estado de sincronización: verde = conectado y sincronizado, naranja = sin conexión (datos locales).</w:t>
      </w:r>
    </w:p>
    <w:p>
      <w:pPr>
        <w:spacing w:after="80" w:before="80"/>
      </w:pPr>
      <w:r>
        <w:t xml:space="preserve"/>
      </w:r>
    </w:p>
    <w:p>
      <w:pPr>
        <w:pStyle w:val="Heading1"/>
        <w:spacing w:after="120" w:before="360"/>
      </w:pPr>
      <w:r>
        <w:rPr>
          <w:rFonts w:ascii="Arial" w:cs="Arial" w:eastAsia="Arial" w:hAnsi="Arial"/>
          <w:b/>
          <w:bCs/>
          <w:color w:val="1F5F78"/>
          <w:sz w:val="32"/>
          <w:szCs w:val="32"/>
        </w:rPr>
        <w:t xml:space="preserve">3. Módulos de la Aplicación</w:t>
      </w:r>
    </w:p>
    <w:p>
      <w:pPr>
        <w:spacing w:after="60" w:before="60"/>
      </w:pPr>
      <w:r>
        <w:rPr>
          <w:rFonts w:ascii="Arial" w:cs="Arial" w:eastAsia="Arial" w:hAnsi="Arial"/>
          <w:sz w:val="22"/>
          <w:szCs w:val="22"/>
        </w:rPr>
        <w:t xml:space="preserve">Dentro de cada proyecto hay cinco módulos accesibles desde la barra de navegación inferior: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1F5F78" w:sz="1"/>
              <w:left w:val="single" w:color="1F5F78" w:sz="1"/>
              <w:bottom w:val="single" w:color="1F5F78" w:sz="1"/>
              <w:right w:val="single" w:color="1F5F78" w:sz="1"/>
            </w:tcBorders>
            <w:shd w:fill="1F5F78"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Ícono</w:t>
            </w:r>
          </w:p>
        </w:tc>
        <w:tc>
          <w:tcPr>
            <w:tcW w:type="dxa" w:w="2160"/>
            <w:tcBorders>
              <w:top w:val="single" w:color="1F5F78" w:sz="1"/>
              <w:left w:val="single" w:color="1F5F78" w:sz="1"/>
              <w:bottom w:val="single" w:color="1F5F78" w:sz="1"/>
              <w:right w:val="single" w:color="1F5F78" w:sz="1"/>
            </w:tcBorders>
            <w:shd w:fill="1F5F78" w:val="clear"/>
            <w:tcMar>
              <w:top w:type="dxa" w:w="80"/>
              <w:left w:type="dxa" w:w="120"/>
              <w:bottom w:type="dxa" w:w="80"/>
              <w:right w:type="dxa" w:w="80"/>
            </w:tcMar>
          </w:tcPr>
          <w:p>
            <w:r>
              <w:rPr>
                <w:rFonts w:ascii="Arial" w:cs="Arial" w:eastAsia="Arial" w:hAnsi="Arial"/>
                <w:b/>
                <w:bCs/>
                <w:color w:val="FFFFFF"/>
                <w:sz w:val="22"/>
                <w:szCs w:val="22"/>
              </w:rPr>
              <w:t xml:space="preserve">Módulo</w:t>
            </w:r>
          </w:p>
        </w:tc>
        <w:tc>
          <w:tcPr>
            <w:tcW w:type="dxa" w:w="6000"/>
            <w:tcBorders>
              <w:top w:val="single" w:color="1F5F78" w:sz="1"/>
              <w:left w:val="single" w:color="1F5F78" w:sz="1"/>
              <w:bottom w:val="single" w:color="1F5F78" w:sz="1"/>
              <w:right w:val="single" w:color="1F5F78" w:sz="1"/>
            </w:tcBorders>
            <w:shd w:fill="1F5F78" w:val="clear"/>
            <w:tcMar>
              <w:top w:type="dxa" w:w="80"/>
              <w:left w:type="dxa" w:w="120"/>
              <w:bottom w:type="dxa" w:w="80"/>
              <w:right w:type="dxa" w:w="80"/>
            </w:tcMar>
          </w:tcPr>
          <w:p>
            <w:r>
              <w:rPr>
                <w:rFonts w:ascii="Arial" w:cs="Arial" w:eastAsia="Arial" w:hAnsi="Arial"/>
                <w:b/>
                <w:bCs/>
                <w:color w:val="FFFFFF"/>
                <w:sz w:val="22"/>
                <w:szCs w:val="22"/>
              </w:rPr>
              <w:t xml:space="preserve">Descripción</w:t>
            </w:r>
          </w:p>
        </w:tc>
      </w:tr>
      <w:tr>
        <w:tc>
          <w:tcPr>
            <w:tcW w:type="dxa" w:w="1200"/>
            <w:tcBorders>
              <w:top w:val="single" w:color="CCCCCC" w:sz="1"/>
              <w:left w:val="single" w:color="CCCCCC" w:sz="1"/>
              <w:bottom w:val="single" w:color="CCCCCC" w:sz="1"/>
              <w:right w:val="single" w:color="CCCCCC" w:sz="1"/>
            </w:tcBorders>
            <w:shd w:fill="EBF5FA" w:val="clear"/>
            <w:tcMar>
              <w:top w:type="dxa" w:w="80"/>
              <w:left w:type="dxa" w:w="120"/>
              <w:bottom w:type="dxa" w:w="80"/>
              <w:right w:type="dxa" w:w="80"/>
            </w:tcMar>
          </w:tcPr>
          <w:p>
            <w:pPr>
              <w:jc w:val="center"/>
            </w:pPr>
            <w:r>
              <w:rPr>
                <w:sz w:val="28"/>
                <w:szCs w:val="28"/>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sz w:val="22"/>
                <w:szCs w:val="22"/>
              </w:rPr>
              <w:t xml:space="preserve">Registro Fotográfico</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2"/>
                <w:szCs w:val="22"/>
              </w:rPr>
              <w:t xml:space="preserve">Fotos agrupadas por semana en línea de tiempo. Cámara directa o galería. Descripción semanal editable. Exporta PDF o Excel.</w:t>
            </w:r>
          </w:p>
        </w:tc>
      </w:tr>
      <w:tr>
        <w:tc>
          <w:tcPr>
            <w:tcW w:type="dxa" w:w="1200"/>
            <w:tcBorders>
              <w:top w:val="single" w:color="CCCCCC" w:sz="1"/>
              <w:left w:val="single" w:color="CCCCCC" w:sz="1"/>
              <w:bottom w:val="single" w:color="CCCCCC" w:sz="1"/>
              <w:right w:val="single" w:color="CCCCCC" w:sz="1"/>
            </w:tcBorders>
            <w:shd w:fill="EBF5FA" w:val="clear"/>
            <w:tcMar>
              <w:top w:type="dxa" w:w="80"/>
              <w:left w:type="dxa" w:w="120"/>
              <w:bottom w:type="dxa" w:w="80"/>
              <w:right w:type="dxa" w:w="80"/>
            </w:tcMar>
          </w:tcPr>
          <w:p>
            <w:pPr>
              <w:jc w:val="center"/>
            </w:pPr>
            <w:r>
              <w:rPr>
                <w:sz w:val="28"/>
                <w:szCs w:val="28"/>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sz w:val="22"/>
                <w:szCs w:val="22"/>
              </w:rPr>
              <w:t xml:space="preserve">Control de Gastos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2"/>
                <w:szCs w:val="22"/>
              </w:rPr>
              <w:t xml:space="preserve">4 pestañas: Gastos (CRC/USD), Registrar OC con lector de PDF, Control de materiales (principales + secundarios), Sincronizar (exportar/importar).</w:t>
            </w:r>
          </w:p>
        </w:tc>
      </w:tr>
      <w:tr>
        <w:tc>
          <w:tcPr>
            <w:tcW w:type="dxa" w:w="1200"/>
            <w:tcBorders>
              <w:top w:val="single" w:color="CCCCCC" w:sz="1"/>
              <w:left w:val="single" w:color="CCCCCC" w:sz="1"/>
              <w:bottom w:val="single" w:color="CCCCCC" w:sz="1"/>
              <w:right w:val="single" w:color="CCCCCC" w:sz="1"/>
            </w:tcBorders>
            <w:shd w:fill="EBF5FA" w:val="clear"/>
            <w:tcMar>
              <w:top w:type="dxa" w:w="80"/>
              <w:left w:type="dxa" w:w="120"/>
              <w:bottom w:type="dxa" w:w="80"/>
              <w:right w:type="dxa" w:w="80"/>
            </w:tcMar>
          </w:tcPr>
          <w:p>
            <w:pPr>
              <w:jc w:val="center"/>
            </w:pPr>
            <w:r>
              <w:rPr>
                <w:sz w:val="28"/>
                <w:szCs w:val="28"/>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sz w:val="22"/>
                <w:szCs w:val="22"/>
              </w:rPr>
              <w:t xml:space="preserve">Bitácora de Obra</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2"/>
                <w:szCs w:val="22"/>
              </w:rPr>
              <w:t xml:space="preserve">Reuniones y recorridos con tipo, estado, participantes, detalles, acuerdos y fotos adjuntas. Exporta minutas en PDF.</w:t>
            </w:r>
          </w:p>
        </w:tc>
      </w:tr>
      <w:tr>
        <w:tc>
          <w:tcPr>
            <w:tcW w:type="dxa" w:w="1200"/>
            <w:tcBorders>
              <w:top w:val="single" w:color="CCCCCC" w:sz="1"/>
              <w:left w:val="single" w:color="CCCCCC" w:sz="1"/>
              <w:bottom w:val="single" w:color="CCCCCC" w:sz="1"/>
              <w:right w:val="single" w:color="CCCCCC" w:sz="1"/>
            </w:tcBorders>
            <w:shd w:fill="EBF5FA" w:val="clear"/>
            <w:tcMar>
              <w:top w:type="dxa" w:w="80"/>
              <w:left w:type="dxa" w:w="120"/>
              <w:bottom w:type="dxa" w:w="80"/>
              <w:right w:type="dxa" w:w="80"/>
            </w:tcMar>
          </w:tcPr>
          <w:p>
            <w:pPr>
              <w:jc w:val="center"/>
            </w:pPr>
            <w:r>
              <w:rPr>
                <w:sz w:val="28"/>
                <w:szCs w:val="28"/>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sz w:val="22"/>
                <w:szCs w:val="22"/>
              </w:rPr>
              <w:t xml:space="preserve">Punch List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2"/>
                <w:szCs w:val="22"/>
              </w:rPr>
              <w:t xml:space="preserve">Ítems por sección con status, fotos, notas y responsables. Filtros por estado. Exporta PDF o Excel.</w:t>
            </w:r>
          </w:p>
        </w:tc>
      </w:tr>
      <w:tr>
        <w:tc>
          <w:tcPr>
            <w:tcW w:type="dxa" w:w="1200"/>
            <w:tcBorders>
              <w:top w:val="single" w:color="CCCCCC" w:sz="1"/>
              <w:left w:val="single" w:color="CCCCCC" w:sz="1"/>
              <w:bottom w:val="single" w:color="CCCCCC" w:sz="1"/>
              <w:right w:val="single" w:color="CCCCCC" w:sz="1"/>
            </w:tcBorders>
            <w:shd w:fill="EBF5FA" w:val="clear"/>
            <w:tcMar>
              <w:top w:type="dxa" w:w="80"/>
              <w:left w:type="dxa" w:w="120"/>
              <w:bottom w:type="dxa" w:w="80"/>
              <w:right w:type="dxa" w:w="80"/>
            </w:tcMar>
          </w:tcPr>
          <w:p>
            <w:pPr>
              <w:jc w:val="center"/>
            </w:pPr>
            <w:r>
              <w:rPr>
                <w:sz w:val="28"/>
                <w:szCs w:val="28"/>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sz w:val="22"/>
                <w:szCs w:val="22"/>
              </w:rPr>
              <w:t xml:space="preserve">Pendientes Rápidos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2"/>
                <w:szCs w:val="22"/>
              </w:rPr>
              <w:t xml:space="preserve">Recordatorios con fecha. Vencidos en rojo, hoy en azul. Banner de resumen al inicio.</w:t>
            </w:r>
          </w:p>
        </w:tc>
      </w:tr>
    </w:tbl>
    <w:p>
      <w:pPr>
        <w:spacing w:after="80" w:before="80"/>
      </w:pPr>
      <w:r>
        <w:t xml:space="preserve"/>
      </w:r>
    </w:p>
    <w:p>
      <w:pPr>
        <w:pStyle w:val="Heading1"/>
        <w:spacing w:after="120" w:before="360"/>
      </w:pPr>
      <w:r>
        <w:rPr>
          <w:rFonts w:ascii="Arial" w:cs="Arial" w:eastAsia="Arial" w:hAnsi="Arial"/>
          <w:b/>
          <w:bCs/>
          <w:color w:val="1F5F78"/>
          <w:sz w:val="32"/>
          <w:szCs w:val="32"/>
        </w:rPr>
        <w:t xml:space="preserve">4. Lectura Automática de Órdenes de Compra (PDF)</w:t>
      </w:r>
    </w:p>
    <w:p>
      <w:pPr>
        <w:pStyle w:val="Heading2"/>
        <w:pBdr>
          <w:bottom w:val="single" w:color="3185A3" w:sz="4" w:space="1"/>
        </w:pBdr>
        <w:spacing w:after="80" w:before="240"/>
      </w:pPr>
      <w:r>
        <w:rPr>
          <w:rFonts w:ascii="Arial" w:cs="Arial" w:eastAsia="Arial" w:hAnsi="Arial"/>
          <w:b/>
          <w:bCs/>
          <w:color w:val="3185A3"/>
          <w:sz w:val="26"/>
          <w:szCs w:val="26"/>
        </w:rPr>
        <w:t xml:space="preserve">4.1 Descripción</w:t>
      </w:r>
    </w:p>
    <w:p>
      <w:pPr>
        <w:spacing w:after="60" w:before="60"/>
      </w:pPr>
      <w:r>
        <w:rPr>
          <w:rFonts w:ascii="Arial" w:cs="Arial" w:eastAsia="Arial" w:hAnsi="Arial"/>
          <w:sz w:val="22"/>
          <w:szCs w:val="22"/>
        </w:rPr>
        <w:t xml:space="preserve">El módulo de Control de Gastos incluye un lector automático de Órdenes de Compra en formato PDF. Esta función extrae la información directamente del archivo sin necesidad de conexión a internet ni servicios externos.</w:t>
      </w:r>
    </w:p>
    <w:p>
      <w:pPr>
        <w:spacing w:after="80" w:before="80"/>
      </w:pPr>
      <w:r>
        <w:t xml:space="preserve"/>
      </w:r>
    </w:p>
    <w:p>
      <w:pPr>
        <w:pStyle w:val="Heading2"/>
        <w:pBdr>
          <w:bottom w:val="single" w:color="3185A3" w:sz="4" w:space="1"/>
        </w:pBdr>
        <w:spacing w:after="80" w:before="240"/>
      </w:pPr>
      <w:r>
        <w:rPr>
          <w:rFonts w:ascii="Arial" w:cs="Arial" w:eastAsia="Arial" w:hAnsi="Arial"/>
          <w:b/>
          <w:bCs/>
          <w:color w:val="3185A3"/>
          <w:sz w:val="26"/>
          <w:szCs w:val="26"/>
        </w:rPr>
        <w:t xml:space="preserve">4.2 Cómo usar</w:t>
      </w:r>
    </w:p>
    <w:p>
      <w:pPr>
        <w:pStyle w:val="ListParagraph"/>
        <w:numPr>
          <w:ilvl w:val="0"/>
          <w:numId w:val="2"/>
        </w:numPr>
        <w:spacing w:after="40" w:before="40"/>
      </w:pPr>
      <w:r>
        <w:rPr>
          <w:rFonts w:ascii="Arial" w:cs="Arial" w:eastAsia="Arial" w:hAnsi="Arial"/>
          <w:b/>
          <w:bCs/>
          <w:sz w:val="22"/>
          <w:szCs w:val="22"/>
        </w:rPr>
        <w:t xml:space="preserve">1. </w:t>
      </w:r>
      <w:r>
        <w:rPr>
          <w:rFonts w:ascii="Arial" w:cs="Arial" w:eastAsia="Arial" w:hAnsi="Arial"/>
          <w:sz w:val="22"/>
          <w:szCs w:val="22"/>
        </w:rPr>
        <w:t xml:space="preserve">En la pestaña Registrar OC, tocá el botón 📎 Leer PDF.</w:t>
      </w:r>
    </w:p>
    <w:p>
      <w:pPr>
        <w:pStyle w:val="ListParagraph"/>
        <w:numPr>
          <w:ilvl w:val="0"/>
          <w:numId w:val="2"/>
        </w:numPr>
        <w:spacing w:after="40" w:before="40"/>
      </w:pPr>
      <w:r>
        <w:rPr>
          <w:rFonts w:ascii="Arial" w:cs="Arial" w:eastAsia="Arial" w:hAnsi="Arial"/>
          <w:b/>
          <w:bCs/>
          <w:sz w:val="22"/>
          <w:szCs w:val="22"/>
        </w:rPr>
        <w:t xml:space="preserve">2. </w:t>
      </w:r>
      <w:r>
        <w:rPr>
          <w:rFonts w:ascii="Arial" w:cs="Arial" w:eastAsia="Arial" w:hAnsi="Arial"/>
          <w:sz w:val="22"/>
          <w:szCs w:val="22"/>
        </w:rPr>
        <w:t xml:space="preserve">Seleccioná el PDF de la OC desde el dispositivo.</w:t>
      </w:r>
    </w:p>
    <w:p>
      <w:pPr>
        <w:pStyle w:val="ListParagraph"/>
        <w:numPr>
          <w:ilvl w:val="0"/>
          <w:numId w:val="2"/>
        </w:numPr>
        <w:spacing w:after="40" w:before="40"/>
      </w:pPr>
      <w:r>
        <w:rPr>
          <w:rFonts w:ascii="Arial" w:cs="Arial" w:eastAsia="Arial" w:hAnsi="Arial"/>
          <w:b/>
          <w:bCs/>
          <w:sz w:val="22"/>
          <w:szCs w:val="22"/>
        </w:rPr>
        <w:t xml:space="preserve">3. </w:t>
      </w:r>
      <w:r>
        <w:rPr>
          <w:rFonts w:ascii="Arial" w:cs="Arial" w:eastAsia="Arial" w:hAnsi="Arial"/>
          <w:sz w:val="22"/>
          <w:szCs w:val="22"/>
        </w:rPr>
        <w:t xml:space="preserve">La app extrae automáticamente: N° de OC, fecha, proveedor, proyecto, código de partida, número de cotización y los ítems con cantidad y precio unitario (sin IVA).</w:t>
      </w:r>
    </w:p>
    <w:p>
      <w:pPr>
        <w:pStyle w:val="ListParagraph"/>
        <w:numPr>
          <w:ilvl w:val="0"/>
          <w:numId w:val="2"/>
        </w:numPr>
        <w:spacing w:after="40" w:before="40"/>
      </w:pPr>
      <w:r>
        <w:rPr>
          <w:rFonts w:ascii="Arial" w:cs="Arial" w:eastAsia="Arial" w:hAnsi="Arial"/>
          <w:b/>
          <w:bCs/>
          <w:sz w:val="22"/>
          <w:szCs w:val="22"/>
        </w:rPr>
        <w:t xml:space="preserve">4. </w:t>
      </w:r>
      <w:r>
        <w:rPr>
          <w:rFonts w:ascii="Arial" w:cs="Arial" w:eastAsia="Arial" w:hAnsi="Arial"/>
          <w:sz w:val="22"/>
          <w:szCs w:val="22"/>
        </w:rPr>
        <w:t xml:space="preserve">Revisá los datos pre-llenados, corregí si algo no quedó bien, y guardá normalmente.</w:t>
      </w:r>
    </w:p>
    <w:p>
      <w:pPr>
        <w:spacing w:after="80" w:before="80"/>
      </w:pPr>
      <w:r>
        <w:t xml:space="preserve"/>
      </w:r>
    </w:p>
    <w:p>
      <w:pPr>
        <w:pStyle w:val="Heading2"/>
        <w:pBdr>
          <w:bottom w:val="single" w:color="3185A3" w:sz="4" w:space="1"/>
        </w:pBdr>
        <w:spacing w:after="80" w:before="240"/>
      </w:pPr>
      <w:r>
        <w:rPr>
          <w:rFonts w:ascii="Arial" w:cs="Arial" w:eastAsia="Arial" w:hAnsi="Arial"/>
          <w:b/>
          <w:bCs/>
          <w:color w:val="3185A3"/>
          <w:sz w:val="26"/>
          <w:szCs w:val="26"/>
        </w:rPr>
        <w:t xml:space="preserve">4.3 Extracción e ítems</w:t>
      </w:r>
    </w:p>
    <w:p>
      <w:pPr>
        <w:spacing w:after="60" w:before="60"/>
      </w:pPr>
      <w:r>
        <w:rPr>
          <w:rFonts w:ascii="Arial" w:cs="Arial" w:eastAsia="Arial" w:hAnsi="Arial"/>
          <w:sz w:val="22"/>
          <w:szCs w:val="22"/>
        </w:rPr>
        <w:t xml:space="preserve">El lector funciona con los PDFs generados digitalmente por el sistema de Culebras Group (no con documentos escaneados). Los ítems con cantidad negativa (descuentos) se ignoran automáticamente. Cada ítem extraído se cruza contra la lista de materiales del proyecto:</w:t>
      </w:r>
    </w:p>
    <w:p>
      <w:pPr>
        <w:pStyle w:val="ListParagraph"/>
        <w:numPr>
          <w:ilvl w:val="0"/>
          <w:numId w:val="2"/>
        </w:numPr>
        <w:spacing w:after="40" w:before="40"/>
      </w:pPr>
      <w:r>
        <w:rPr>
          <w:rFonts w:ascii="Arial" w:cs="Arial" w:eastAsia="Arial" w:hAnsi="Arial"/>
          <w:b/>
          <w:bCs/>
          <w:sz w:val="22"/>
          <w:szCs w:val="22"/>
        </w:rPr>
        <w:t xml:space="preserve">Match exacto o parcial: </w:t>
      </w:r>
      <w:r>
        <w:rPr>
          <w:rFonts w:ascii="Arial" w:cs="Arial" w:eastAsia="Arial" w:hAnsi="Arial"/>
          <w:sz w:val="22"/>
          <w:szCs w:val="22"/>
        </w:rPr>
        <w:t xml:space="preserve">Si hay coincidencia exacta o parcial con un material principal → actualiza su acumulado de cantidad comprada y precio promedio.</w:t>
      </w:r>
    </w:p>
    <w:p>
      <w:pPr>
        <w:pStyle w:val="ListParagraph"/>
        <w:numPr>
          <w:ilvl w:val="0"/>
          <w:numId w:val="2"/>
        </w:numPr>
        <w:spacing w:after="40" w:before="40"/>
      </w:pPr>
      <w:r>
        <w:rPr>
          <w:rFonts w:ascii="Arial" w:cs="Arial" w:eastAsia="Arial" w:hAnsi="Arial"/>
          <w:b/>
          <w:bCs/>
          <w:sz w:val="22"/>
          <w:szCs w:val="22"/>
        </w:rPr>
        <w:t xml:space="preserve">Sin match: </w:t>
      </w:r>
      <w:r>
        <w:rPr>
          <w:rFonts w:ascii="Arial" w:cs="Arial" w:eastAsia="Arial" w:hAnsi="Arial"/>
          <w:sz w:val="22"/>
          <w:szCs w:val="22"/>
        </w:rPr>
        <w:t xml:space="preserve">Si no hay coincidencia → el material se crea automáticamente en la sección de Materiales Secundarios.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5A3" w:sz="4"/>
              <w:left w:val="single" w:color="3185A3" w:sz="12"/>
              <w:bottom w:val="single" w:color="3185A3" w:sz="4"/>
              <w:right w:val="none" w:color="FFFFFF" w:sz="0"/>
            </w:tcBorders>
            <w:shd w:fill="EBF5FA" w:val="clear"/>
            <w:tcMar>
              <w:top w:type="dxa" w:w="100"/>
              <w:left w:type="dxa" w:w="180"/>
              <w:bottom w:type="dxa" w:w="100"/>
              <w:right w:type="dxa" w:w="120"/>
            </w:tcMar>
          </w:tcPr>
          <w:p>
            <w:r>
              <w:rPr>
                <w:rFonts w:ascii="Arial" w:cs="Arial" w:eastAsia="Arial" w:hAnsi="Arial"/>
                <w:color w:val="1F5F78"/>
                <w:sz w:val="22"/>
                <w:szCs w:val="22"/>
              </w:rPr>
              <w:t xml:space="preserve">Requisito: el nombre del material en la OC debe ser consistente entre distintas OCs para que el sistema los acumule correctamente como el mismo material.</w:t>
            </w:r>
          </w:p>
        </w:tc>
      </w:tr>
    </w:tbl>
    <w:p>
      <w:pPr>
        <w:spacing w:after="80" w:before="80"/>
      </w:pPr>
      <w:r>
        <w:t xml:space="preserve"/>
      </w:r>
    </w:p>
    <w:p>
      <w:pPr>
        <w:pStyle w:val="Heading2"/>
        <w:pBdr>
          <w:bottom w:val="single" w:color="3185A3" w:sz="4" w:space="1"/>
        </w:pBdr>
        <w:spacing w:after="80" w:before="240"/>
      </w:pPr>
      <w:r>
        <w:rPr>
          <w:rFonts w:ascii="Arial" w:cs="Arial" w:eastAsia="Arial" w:hAnsi="Arial"/>
          <w:b/>
          <w:bCs/>
          <w:color w:val="3185A3"/>
          <w:sz w:val="26"/>
          <w:szCs w:val="26"/>
        </w:rPr>
        <w:t xml:space="preserve">4.4 Control de Materiales</w:t>
      </w:r>
    </w:p>
    <w:p>
      <w:pPr>
        <w:spacing w:after="60" w:before="60"/>
      </w:pPr>
      <w:r>
        <w:rPr>
          <w:rFonts w:ascii="Arial" w:cs="Arial" w:eastAsia="Arial" w:hAnsi="Arial"/>
          <w:sz w:val="22"/>
          <w:szCs w:val="22"/>
        </w:rPr>
        <w:t xml:space="preserve">La pestaña Control muestra dos secciones:</w:t>
      </w:r>
    </w:p>
    <w:p>
      <w:pPr>
        <w:pStyle w:val="ListParagraph"/>
        <w:numPr>
          <w:ilvl w:val="0"/>
          <w:numId w:val="2"/>
        </w:numPr>
        <w:spacing w:after="40" w:before="40"/>
      </w:pPr>
      <w:r>
        <w:rPr>
          <w:rFonts w:ascii="Arial" w:cs="Arial" w:eastAsia="Arial" w:hAnsi="Arial"/>
          <w:b/>
          <w:bCs/>
          <w:sz w:val="22"/>
          <w:szCs w:val="22"/>
        </w:rPr>
        <w:t xml:space="preserve">Principales: </w:t>
      </w:r>
      <w:r>
        <w:rPr>
          <w:rFonts w:ascii="Arial" w:cs="Arial" w:eastAsia="Arial" w:hAnsi="Arial"/>
          <w:sz w:val="22"/>
          <w:szCs w:val="22"/>
        </w:rPr>
        <w:t xml:space="preserve">Materiales con cantidad y precio presupuestado definidos. Muestran barra de avance (% comprado vs presupuesto), precio real promedio y alerta si el precio real supera el presupuestado.</w:t>
      </w:r>
    </w:p>
    <w:p>
      <w:pPr>
        <w:pStyle w:val="ListParagraph"/>
        <w:numPr>
          <w:ilvl w:val="0"/>
          <w:numId w:val="2"/>
        </w:numPr>
        <w:spacing w:after="40" w:before="40"/>
      </w:pPr>
      <w:r>
        <w:rPr>
          <w:rFonts w:ascii="Arial" w:cs="Arial" w:eastAsia="Arial" w:hAnsi="Arial"/>
          <w:b/>
          <w:bCs/>
          <w:sz w:val="22"/>
          <w:szCs w:val="22"/>
        </w:rPr>
        <w:t xml:space="preserve">Secundarios: </w:t>
      </w:r>
      <w:r>
        <w:rPr>
          <w:rFonts w:ascii="Arial" w:cs="Arial" w:eastAsia="Arial" w:hAnsi="Arial"/>
          <w:sz w:val="22"/>
          <w:szCs w:val="22"/>
        </w:rPr>
        <w:t xml:space="preserve">Materiales que aparecen en OCs pero no estaban en el presupuesto original. Muestran cantidad acumulada y precio promedio. Se puede agregar cantidad y precio de presupuesto en cualquier momento, o marcarlos como NA si no aplica.</w:t>
      </w:r>
    </w:p>
    <w:p>
      <w:pPr>
        <w:spacing w:after="80" w:before="80"/>
      </w:pPr>
      <w:r>
        <w:t xml:space="preserve"/>
      </w:r>
    </w:p>
    <w:p>
      <w:pPr>
        <w:pStyle w:val="Heading1"/>
        <w:spacing w:after="120" w:before="360"/>
      </w:pPr>
      <w:r>
        <w:rPr>
          <w:rFonts w:ascii="Arial" w:cs="Arial" w:eastAsia="Arial" w:hAnsi="Arial"/>
          <w:b/>
          <w:bCs/>
          <w:color w:val="1F5F78"/>
          <w:sz w:val="32"/>
          <w:szCs w:val="32"/>
        </w:rPr>
        <w:t xml:space="preserve">5. Sincronización en Tiempo Real (Firebase)</w:t>
      </w:r>
    </w:p>
    <w:p>
      <w:pPr>
        <w:pStyle w:val="Heading2"/>
        <w:pBdr>
          <w:bottom w:val="single" w:color="3185A3" w:sz="4" w:space="1"/>
        </w:pBdr>
        <w:spacing w:after="80" w:before="240"/>
      </w:pPr>
      <w:r>
        <w:rPr>
          <w:rFonts w:ascii="Arial" w:cs="Arial" w:eastAsia="Arial" w:hAnsi="Arial"/>
          <w:b/>
          <w:bCs/>
          <w:color w:val="3185A3"/>
          <w:sz w:val="26"/>
          <w:szCs w:val="26"/>
        </w:rPr>
        <w:t xml:space="preserve">5.1 Descripción</w:t>
      </w:r>
    </w:p>
    <w:p>
      <w:pPr>
        <w:spacing w:after="60" w:before="60"/>
      </w:pPr>
      <w:r>
        <w:rPr>
          <w:rFonts w:ascii="Arial" w:cs="Arial" w:eastAsia="Arial" w:hAnsi="Arial"/>
          <w:sz w:val="22"/>
          <w:szCs w:val="22"/>
        </w:rPr>
        <w:t xml:space="preserve">Desde la versión 2.0, la app utiliza Google Firebase (Firestore) para sincronizar los datos de los proyectos en tiempo real entre todos los dispositivos. Cualquier cambio registrado por un residente es visible inmediatamente para el director de proyecto y los demás miembros del equipo.</w:t>
      </w:r>
    </w:p>
    <w:p>
      <w:pPr>
        <w:spacing w:after="80" w:before="80"/>
      </w:pPr>
      <w:r>
        <w:t xml:space="preserve"/>
      </w:r>
    </w:p>
    <w:p>
      <w:pPr>
        <w:pStyle w:val="Heading2"/>
        <w:pBdr>
          <w:bottom w:val="single" w:color="3185A3" w:sz="4" w:space="1"/>
        </w:pBdr>
        <w:spacing w:after="80" w:before="240"/>
      </w:pPr>
      <w:r>
        <w:rPr>
          <w:rFonts w:ascii="Arial" w:cs="Arial" w:eastAsia="Arial" w:hAnsi="Arial"/>
          <w:b/>
          <w:bCs/>
          <w:color w:val="3185A3"/>
          <w:sz w:val="26"/>
          <w:szCs w:val="26"/>
        </w:rPr>
        <w:t xml:space="preserve">5.2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5A3" w:sz="4"/>
              <w:left w:val="single" w:color="3185A3" w:sz="12"/>
              <w:bottom w:val="single" w:color="3185A3" w:sz="4"/>
              <w:right w:val="none" w:color="FFFFFF" w:sz="0"/>
            </w:tcBorders>
            <w:shd w:fill="EBF5FA" w:val="clear"/>
            <w:tcMar>
              <w:top w:type="dxa" w:w="100"/>
              <w:left w:type="dxa" w:w="180"/>
              <w:bottom w:type="dxa" w:w="100"/>
              <w:right w:type="dxa" w:w="120"/>
            </w:tcMar>
          </w:tcPr>
          <w:p>
            <w:r>
              <w:rPr>
                <w:rFonts w:ascii="Arial" w:cs="Arial" w:eastAsia="Arial" w:hAnsi="Arial"/>
                <w:color w:val="1F5F78"/>
                <w:sz w:val="22"/>
                <w:szCs w:val="22"/>
              </w:rPr>
              <w:t xml:space="preserve">Proyecto Firebase: culebras-group-field  |  Plan: Spark (gratuito)  |  Servicio: Cloud Firestore</w:t>
            </w:r>
          </w:p>
        </w:tc>
      </w:tr>
    </w:tbl>
    <w:p>
      <w:pPr>
        <w:spacing w:after="80" w:before="80"/>
      </w:pPr>
      <w:r>
        <w:t xml:space="preserve"/>
      </w:r>
    </w:p>
    <w:p>
      <w:pPr>
        <w:spacing w:after="60" w:before="60"/>
      </w:pPr>
      <w:r>
        <w:rPr>
          <w:rFonts w:ascii="Arial" w:cs="Arial" w:eastAsia="Arial" w:hAnsi="Arial"/>
          <w:sz w:val="22"/>
          <w:szCs w:val="22"/>
        </w:rPr>
        <w:t xml:space="preserve">Estructura de datos en Firestore:</w:t>
      </w:r>
    </w:p>
    <w:p>
      <w:pPr>
        <w:pStyle w:val="ListParagraph"/>
        <w:numPr>
          <w:ilvl w:val="0"/>
          <w:numId w:val="2"/>
        </w:numPr>
        <w:spacing w:after="40" w:before="40"/>
      </w:pPr>
      <w:r>
        <w:rPr>
          <w:rFonts w:ascii="Arial" w:cs="Arial" w:eastAsia="Arial" w:hAnsi="Arial"/>
          <w:sz w:val="22"/>
          <w:szCs w:val="22"/>
        </w:rPr>
        <w:t xml:space="preserve">/proyectos/{id}  →  Nombre, descripción, clave hasheada, fecha de creación</w:t>
      </w:r>
    </w:p>
    <w:p>
      <w:pPr>
        <w:pStyle w:val="ListParagraph"/>
        <w:numPr>
          <w:ilvl w:val="0"/>
          <w:numId w:val="2"/>
        </w:numPr>
        <w:spacing w:after="40" w:before="40"/>
      </w:pPr>
      <w:r>
        <w:rPr>
          <w:rFonts w:ascii="Arial" w:cs="Arial" w:eastAsia="Arial" w:hAnsi="Arial"/>
          <w:sz w:val="22"/>
          <w:szCs w:val="22"/>
        </w:rPr>
        <w:t xml:space="preserve">/proyectos/{id}/gastos/  →  Gastos individuales (CRC y USD)</w:t>
      </w:r>
    </w:p>
    <w:p>
      <w:pPr>
        <w:pStyle w:val="ListParagraph"/>
        <w:numPr>
          <w:ilvl w:val="0"/>
          <w:numId w:val="2"/>
        </w:numPr>
        <w:spacing w:after="40" w:before="40"/>
      </w:pPr>
      <w:r>
        <w:rPr>
          <w:rFonts w:ascii="Arial" w:cs="Arial" w:eastAsia="Arial" w:hAnsi="Arial"/>
          <w:sz w:val="22"/>
          <w:szCs w:val="22"/>
        </w:rPr>
        <w:t xml:space="preserve">/proyectos/{id}/histoc/  →  Historial de Órdenes de Compra</w:t>
      </w:r>
    </w:p>
    <w:p>
      <w:pPr>
        <w:pStyle w:val="ListParagraph"/>
        <w:numPr>
          <w:ilvl w:val="0"/>
          <w:numId w:val="2"/>
        </w:numPr>
        <w:spacing w:after="40" w:before="40"/>
      </w:pPr>
      <w:r>
        <w:rPr>
          <w:rFonts w:ascii="Arial" w:cs="Arial" w:eastAsia="Arial" w:hAnsi="Arial"/>
          <w:sz w:val="22"/>
          <w:szCs w:val="22"/>
        </w:rPr>
        <w:t xml:space="preserve">/proyectos/{id}/datos/materiales  →  Lista de materiales principales y secundarios</w:t>
      </w:r>
    </w:p>
    <w:p>
      <w:pPr>
        <w:pStyle w:val="ListParagraph"/>
        <w:numPr>
          <w:ilvl w:val="0"/>
          <w:numId w:val="2"/>
        </w:numPr>
        <w:spacing w:after="40" w:before="40"/>
      </w:pPr>
      <w:r>
        <w:rPr>
          <w:rFonts w:ascii="Arial" w:cs="Arial" w:eastAsia="Arial" w:hAnsi="Arial"/>
          <w:sz w:val="22"/>
          <w:szCs w:val="22"/>
        </w:rPr>
        <w:t xml:space="preserve">/proyectos/{id}/bitacora/  →  Entradas de bitácora</w:t>
      </w:r>
    </w:p>
    <w:p>
      <w:pPr>
        <w:pStyle w:val="ListParagraph"/>
        <w:numPr>
          <w:ilvl w:val="0"/>
          <w:numId w:val="2"/>
        </w:numPr>
        <w:spacing w:after="40" w:before="40"/>
      </w:pPr>
      <w:r>
        <w:rPr>
          <w:rFonts w:ascii="Arial" w:cs="Arial" w:eastAsia="Arial" w:hAnsi="Arial"/>
          <w:sz w:val="22"/>
          <w:szCs w:val="22"/>
        </w:rPr>
        <w:t xml:space="preserve">/proyectos/{id}/pendientes/  →  Recordatorios</w:t>
      </w:r>
    </w:p>
    <w:p>
      <w:pPr>
        <w:pStyle w:val="ListParagraph"/>
        <w:numPr>
          <w:ilvl w:val="0"/>
          <w:numId w:val="2"/>
        </w:numPr>
        <w:spacing w:after="40" w:before="40"/>
      </w:pPr>
      <w:r>
        <w:rPr>
          <w:rFonts w:ascii="Arial" w:cs="Arial" w:eastAsia="Arial" w:hAnsi="Arial"/>
          <w:sz w:val="22"/>
          <w:szCs w:val="22"/>
        </w:rPr>
        <w:t xml:space="preserve">/proyectos/{id}/datos/punchlist  →  Ítems del Punch List</w:t>
      </w:r>
    </w:p>
    <w:p>
      <w:pPr>
        <w:pStyle w:val="ListParagraph"/>
        <w:numPr>
          <w:ilvl w:val="0"/>
          <w:numId w:val="2"/>
        </w:numPr>
        <w:spacing w:after="40" w:before="40"/>
      </w:pPr>
      <w:r>
        <w:rPr>
          <w:rFonts w:ascii="Arial" w:cs="Arial" w:eastAsia="Arial" w:hAnsi="Arial"/>
          <w:sz w:val="22"/>
          <w:szCs w:val="22"/>
        </w:rPr>
        <w:t xml:space="preserve">/proyectos/{id}/datos/fotos_desc  →  Descripciones semanales del registro fotográfico</w:t>
      </w:r>
    </w:p>
    <w:p>
      <w:pPr>
        <w:spacing w:after="80" w:before="80"/>
      </w:pPr>
      <w:r>
        <w:t xml:space="preserve"/>
      </w:r>
    </w:p>
    <w:p>
      <w:pPr>
        <w:spacing w:after="60" w:before="60"/>
      </w:pPr>
      <w:r>
        <w:rPr>
          <w:rFonts w:ascii="Arial" w:cs="Arial" w:eastAsia="Arial" w:hAnsi="Arial"/>
          <w:sz w:val="22"/>
          <w:szCs w:val="22"/>
        </w:rPr>
        <w:t xml:space="preserve">Nota: Las fotos (imágenes base64) se almacenan en el dispositivo local por su tamaño. Solo los metadatos y descripciones se sincronizan a Firebase.</w:t>
      </w:r>
    </w:p>
    <w:p>
      <w:pPr>
        <w:spacing w:after="80" w:before="80"/>
      </w:pPr>
      <w:r>
        <w:t xml:space="preserve"/>
      </w:r>
    </w:p>
    <w:p>
      <w:pPr>
        <w:pStyle w:val="Heading2"/>
        <w:pBdr>
          <w:bottom w:val="single" w:color="3185A3" w:sz="4" w:space="1"/>
        </w:pBdr>
        <w:spacing w:after="80" w:before="240"/>
      </w:pPr>
      <w:r>
        <w:rPr>
          <w:rFonts w:ascii="Arial" w:cs="Arial" w:eastAsia="Arial" w:hAnsi="Arial"/>
          <w:b/>
          <w:bCs/>
          <w:color w:val="3185A3"/>
          <w:sz w:val="26"/>
          <w:szCs w:val="26"/>
        </w:rPr>
        <w:t xml:space="preserve">5.3 Modo sin conexión</w:t>
      </w:r>
    </w:p>
    <w:p>
      <w:pPr>
        <w:spacing w:after="60" w:before="60"/>
      </w:pPr>
      <w:r>
        <w:rPr>
          <w:rFonts w:ascii="Arial" w:cs="Arial" w:eastAsia="Arial" w:hAnsi="Arial"/>
          <w:sz w:val="22"/>
          <w:szCs w:val="22"/>
        </w:rPr>
        <w:t xml:space="preserve">La app usa localStorage como caché local. Si no hay internet, los datos siguen accesibles desde el último estado sincronizado. Al recuperar la conexión, Firebase sincroniza automáticamente los cambios pendientes.</w:t>
      </w:r>
    </w:p>
    <w:p>
      <w:pPr>
        <w:spacing w:after="80" w:before="80"/>
      </w:pPr>
      <w:r>
        <w:t xml:space="preserve"/>
      </w:r>
    </w:p>
    <w:p>
      <w:pPr>
        <w:pStyle w:val="Heading2"/>
        <w:pBdr>
          <w:bottom w:val="single" w:color="3185A3" w:sz="4" w:space="1"/>
        </w:pBdr>
        <w:spacing w:after="80" w:before="240"/>
      </w:pPr>
      <w:r>
        <w:rPr>
          <w:rFonts w:ascii="Arial" w:cs="Arial" w:eastAsia="Arial" w:hAnsi="Arial"/>
          <w:b/>
          <w:bCs/>
          <w:color w:val="3185A3"/>
          <w:sz w:val="26"/>
          <w:szCs w:val="26"/>
        </w:rPr>
        <w:t xml:space="preserve">5.4 Seguridad</w:t>
      </w:r>
    </w:p>
    <w:p>
      <w:pPr>
        <w:pStyle w:val="ListParagraph"/>
        <w:numPr>
          <w:ilvl w:val="0"/>
          <w:numId w:val="2"/>
        </w:numPr>
        <w:spacing w:after="40" w:before="40"/>
      </w:pPr>
      <w:r>
        <w:rPr>
          <w:rFonts w:ascii="Arial" w:cs="Arial" w:eastAsia="Arial" w:hAnsi="Arial"/>
          <w:b/>
          <w:bCs/>
          <w:sz w:val="22"/>
          <w:szCs w:val="22"/>
        </w:rPr>
        <w:t xml:space="preserve">Clave por proyecto: </w:t>
      </w:r>
      <w:r>
        <w:rPr>
          <w:rFonts w:ascii="Arial" w:cs="Arial" w:eastAsia="Arial" w:hAnsi="Arial"/>
          <w:sz w:val="22"/>
          <w:szCs w:val="22"/>
        </w:rPr>
        <w:t xml:space="preserve">Cada proyecto tiene una clave de acceso definida por el administrador al crearlo.</w:t>
      </w:r>
    </w:p>
    <w:p>
      <w:pPr>
        <w:pStyle w:val="ListParagraph"/>
        <w:numPr>
          <w:ilvl w:val="0"/>
          <w:numId w:val="2"/>
        </w:numPr>
        <w:spacing w:after="40" w:before="40"/>
      </w:pPr>
      <w:r>
        <w:rPr>
          <w:rFonts w:ascii="Arial" w:cs="Arial" w:eastAsia="Arial" w:hAnsi="Arial"/>
          <w:b/>
          <w:bCs/>
          <w:sz w:val="22"/>
          <w:szCs w:val="22"/>
        </w:rPr>
        <w:t xml:space="preserve">Hash SHA-256: </w:t>
      </w:r>
      <w:r>
        <w:rPr>
          <w:rFonts w:ascii="Arial" w:cs="Arial" w:eastAsia="Arial" w:hAnsi="Arial"/>
          <w:sz w:val="22"/>
          <w:szCs w:val="22"/>
        </w:rPr>
        <w:t xml:space="preserve">Las claves se almacenan en Firebase como hash SHA-256 (nunca en texto plano).</w:t>
      </w:r>
    </w:p>
    <w:p>
      <w:pPr>
        <w:pStyle w:val="ListParagraph"/>
        <w:numPr>
          <w:ilvl w:val="0"/>
          <w:numId w:val="2"/>
        </w:numPr>
        <w:spacing w:after="40" w:before="40"/>
      </w:pPr>
      <w:r>
        <w:rPr>
          <w:rFonts w:ascii="Arial" w:cs="Arial" w:eastAsia="Arial" w:hAnsi="Arial"/>
          <w:b/>
          <w:bCs/>
          <w:sz w:val="22"/>
          <w:szCs w:val="22"/>
        </w:rPr>
        <w:t xml:space="preserve">PIN maestro: </w:t>
      </w:r>
      <w:r>
        <w:rPr>
          <w:rFonts w:ascii="Arial" w:cs="Arial" w:eastAsia="Arial" w:hAnsi="Arial"/>
          <w:sz w:val="22"/>
          <w:szCs w:val="22"/>
        </w:rPr>
        <w:t xml:space="preserve">El PIN maestro (1234) permite al administrador crear proyectos y resetear claves.</w:t>
      </w:r>
    </w:p>
    <w:p>
      <w:pPr>
        <w:pStyle w:val="ListParagraph"/>
        <w:numPr>
          <w:ilvl w:val="0"/>
          <w:numId w:val="2"/>
        </w:numPr>
        <w:spacing w:after="40" w:before="40"/>
      </w:pPr>
      <w:r>
        <w:rPr>
          <w:rFonts w:ascii="Arial" w:cs="Arial" w:eastAsia="Arial" w:hAnsi="Arial"/>
          <w:b/>
          <w:bCs/>
          <w:sz w:val="22"/>
          <w:szCs w:val="22"/>
        </w:rPr>
        <w:t xml:space="preserve">Reglas de seguridad: </w:t>
      </w:r>
      <w:r>
        <w:rPr>
          <w:rFonts w:ascii="Arial" w:cs="Arial" w:eastAsia="Arial" w:hAnsi="Arial"/>
          <w:sz w:val="22"/>
          <w:szCs w:val="22"/>
        </w:rPr>
        <w:t xml:space="preserve">Las reglas de Firestore están en modo de prueba (30 días). Antes de uso masivo, se deben configurar reglas de producción.</w:t>
      </w:r>
    </w:p>
    <w:p>
      <w:pPr>
        <w:spacing w:after="80" w:before="80"/>
      </w:pPr>
      <w:r>
        <w:t xml:space="preserve"/>
      </w:r>
    </w:p>
    <w:p>
      <w:pPr>
        <w:pStyle w:val="Heading1"/>
        <w:spacing w:after="120" w:before="360"/>
      </w:pPr>
      <w:r>
        <w:rPr>
          <w:rFonts w:ascii="Arial" w:cs="Arial" w:eastAsia="Arial" w:hAnsi="Arial"/>
          <w:b/>
          <w:bCs/>
          <w:color w:val="1F5F78"/>
          <w:sz w:val="32"/>
          <w:szCs w:val="32"/>
        </w:rPr>
        <w:t xml:space="preserve">6. 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c>
          <w:tcPr>
            <w:tcW w:type="dxa" w:w="1440"/>
            <w:tcBorders>
              <w:top w:val="single" w:color="1F5F78" w:sz="1"/>
              <w:left w:val="single" w:color="1F5F78" w:sz="1"/>
              <w:bottom w:val="single" w:color="1F5F78" w:sz="1"/>
              <w:right w:val="single" w:color="1F5F78" w:sz="1"/>
            </w:tcBorders>
            <w:shd w:fill="1F5F78" w:val="clear"/>
            <w:tcMar>
              <w:top w:type="dxa" w:w="80"/>
              <w:left w:type="dxa" w:w="120"/>
              <w:bottom w:type="dxa" w:w="80"/>
              <w:right w:type="dxa" w:w="80"/>
            </w:tcMar>
          </w:tcPr>
          <w:p>
            <w:r>
              <w:rPr>
                <w:rFonts w:ascii="Arial" w:cs="Arial" w:eastAsia="Arial" w:hAnsi="Arial"/>
                <w:b/>
                <w:bCs/>
                <w:color w:val="FFFFFF"/>
                <w:sz w:val="22"/>
                <w:szCs w:val="22"/>
              </w:rPr>
              <w:t xml:space="preserve">Versión</w:t>
            </w:r>
          </w:p>
        </w:tc>
        <w:tc>
          <w:tcPr>
            <w:tcW w:type="dxa" w:w="2160"/>
            <w:tcBorders>
              <w:top w:val="single" w:color="1F5F78" w:sz="1"/>
              <w:left w:val="single" w:color="1F5F78" w:sz="1"/>
              <w:bottom w:val="single" w:color="1F5F78" w:sz="1"/>
              <w:right w:val="single" w:color="1F5F78" w:sz="1"/>
            </w:tcBorders>
            <w:shd w:fill="1F5F78" w:val="clear"/>
            <w:tcMar>
              <w:top w:type="dxa" w:w="80"/>
              <w:left w:type="dxa" w:w="120"/>
              <w:bottom w:type="dxa" w:w="80"/>
              <w:right w:type="dxa" w:w="80"/>
            </w:tcMar>
          </w:tcPr>
          <w:p>
            <w:r>
              <w:rPr>
                <w:rFonts w:ascii="Arial" w:cs="Arial" w:eastAsia="Arial" w:hAnsi="Arial"/>
                <w:b/>
                <w:bCs/>
                <w:color w:val="FFFFFF"/>
                <w:sz w:val="22"/>
                <w:szCs w:val="22"/>
              </w:rPr>
              <w:t xml:space="preserve">Fecha</w:t>
            </w:r>
          </w:p>
        </w:tc>
        <w:tc>
          <w:tcPr>
            <w:tcW w:type="dxa" w:w="5760"/>
            <w:tcBorders>
              <w:top w:val="single" w:color="1F5F78" w:sz="1"/>
              <w:left w:val="single" w:color="1F5F78" w:sz="1"/>
              <w:bottom w:val="single" w:color="1F5F78" w:sz="1"/>
              <w:right w:val="single" w:color="1F5F78" w:sz="1"/>
            </w:tcBorders>
            <w:shd w:fill="1F5F78" w:val="clear"/>
            <w:tcMar>
              <w:top w:type="dxa" w:w="80"/>
              <w:left w:type="dxa" w:w="120"/>
              <w:bottom w:type="dxa" w:w="80"/>
              <w:right w:type="dxa" w:w="80"/>
            </w:tcMar>
          </w:tcPr>
          <w:p>
            <w:r>
              <w:rPr>
                <w:rFonts w:ascii="Arial" w:cs="Arial" w:eastAsia="Arial" w:hAnsi="Arial"/>
                <w:b/>
                <w:bCs/>
                <w:color w:val="FFFFFF"/>
                <w:sz w:val="22"/>
                <w:szCs w:val="22"/>
              </w:rPr>
              <w:t xml:space="preserve">Cambios principales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b/>
                <w:bCs/>
                <w:color w:val="3185A3"/>
                <w:sz w:val="22"/>
                <w:szCs w:val="22"/>
              </w:rPr>
              <w:t xml:space="preserve">v1.0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2"/>
                <w:szCs w:val="22"/>
              </w:rPr>
              <w:t xml:space="preserve">Mayo–Junio 2026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80"/>
            </w:tcMar>
          </w:tcPr>
          <w:p>
            <w:r>
              <w:rPr>
                <w:rFonts w:ascii="Arial" w:cs="Arial" w:eastAsia="Arial" w:hAnsi="Arial"/>
                <w:sz w:val="22"/>
                <w:szCs w:val="22"/>
              </w:rPr>
              <w:t xml:space="preserve">App integrada offline: Fotos, Gastos (CRC/USD, OC, Control de materiales), Bitácora, Punch List, Pendientes. Un solo archivo HTML, datos por proyecto en localStorage.</w:t>
            </w:r>
          </w:p>
        </w:tc>
      </w:tr>
      <w:tr>
        <w:tc>
          <w:tcPr>
            <w:tcW w:type="dxa" w:w="1440"/>
            <w:tcBorders>
              <w:top w:val="single" w:color="CCCCCC" w:sz="1"/>
              <w:left w:val="single" w:color="CCCCCC" w:sz="1"/>
              <w:bottom w:val="single" w:color="CCCCCC" w:sz="1"/>
              <w:right w:val="single" w:color="CCCCCC" w:sz="1"/>
            </w:tcBorders>
            <w:shd w:fill="EBF5FA" w:val="clear"/>
            <w:tcMar>
              <w:top w:type="dxa" w:w="80"/>
              <w:left w:type="dxa" w:w="120"/>
              <w:bottom w:type="dxa" w:w="80"/>
              <w:right w:type="dxa" w:w="80"/>
            </w:tcMar>
          </w:tcPr>
          <w:p>
            <w:r>
              <w:rPr>
                <w:rFonts w:ascii="Arial" w:cs="Arial" w:eastAsia="Arial" w:hAnsi="Arial"/>
                <w:b/>
                <w:bCs/>
                <w:color w:val="1F5F78"/>
                <w:sz w:val="22"/>
                <w:szCs w:val="22"/>
              </w:rPr>
              <w:t xml:space="preserve">v2.0</w:t>
            </w:r>
          </w:p>
        </w:tc>
        <w:tc>
          <w:tcPr>
            <w:tcW w:type="dxa" w:w="2160"/>
            <w:tcBorders>
              <w:top w:val="single" w:color="CCCCCC" w:sz="1"/>
              <w:left w:val="single" w:color="CCCCCC" w:sz="1"/>
              <w:bottom w:val="single" w:color="CCCCCC" w:sz="1"/>
              <w:right w:val="single" w:color="CCCCCC" w:sz="1"/>
            </w:tcBorders>
            <w:shd w:fill="EBF5FA" w:val="clear"/>
            <w:tcMar>
              <w:top w:type="dxa" w:w="80"/>
              <w:left w:type="dxa" w:w="120"/>
              <w:bottom w:type="dxa" w:w="80"/>
              <w:right w:type="dxa" w:w="80"/>
            </w:tcMar>
          </w:tcPr>
          <w:p>
            <w:r>
              <w:rPr>
                <w:rFonts w:ascii="Arial" w:cs="Arial" w:eastAsia="Arial" w:hAnsi="Arial"/>
                <w:sz w:val="22"/>
                <w:szCs w:val="22"/>
              </w:rPr>
              <w:t xml:space="preserve">Junio 2026</w:t>
            </w:r>
          </w:p>
        </w:tc>
        <w:tc>
          <w:tcPr>
            <w:tcW w:type="dxa" w:w="5760"/>
            <w:tcBorders>
              <w:top w:val="single" w:color="CCCCCC" w:sz="1"/>
              <w:left w:val="single" w:color="CCCCCC" w:sz="1"/>
              <w:bottom w:val="single" w:color="CCCCCC" w:sz="1"/>
              <w:right w:val="single" w:color="CCCCCC" w:sz="1"/>
            </w:tcBorders>
            <w:shd w:fill="EBF5FA" w:val="clear"/>
            <w:tcMar>
              <w:top w:type="dxa" w:w="80"/>
              <w:left w:type="dxa" w:w="120"/>
              <w:bottom w:type="dxa" w:w="80"/>
              <w:right w:type="dxa" w:w="80"/>
            </w:tcMar>
          </w:tcPr>
          <w:p>
            <w:r>
              <w:rPr>
                <w:rFonts w:ascii="Arial" w:cs="Arial" w:eastAsia="Arial" w:hAnsi="Arial"/>
                <w:sz w:val="22"/>
                <w:szCs w:val="22"/>
              </w:rPr>
              <w:t xml:space="preserve">Sincronización en tiempo real con Firebase Firestore. Sistema de claves por proyecto. PIN maestro de administrador. Lector automático de PDF de Órdenes de Compra. Control de materiales principales y secundarios con precios promedio. Publicación en Netlify (acceso por URL).</w:t>
            </w:r>
          </w:p>
        </w:tc>
      </w:tr>
    </w:tbl>
    <w:p>
      <w:pPr>
        <w:spacing w:after="80" w:before="80"/>
      </w:pPr>
      <w:r>
        <w:t xml:space="preserve"/>
      </w:r>
    </w:p>
    <w:p>
      <w:pPr>
        <w:pStyle w:val="Heading1"/>
        <w:spacing w:after="120" w:before="360"/>
      </w:pPr>
      <w:r>
        <w:rPr>
          <w:rFonts w:ascii="Arial" w:cs="Arial" w:eastAsia="Arial" w:hAnsi="Arial"/>
          <w:b/>
          <w:bCs/>
          <w:color w:val="1F5F78"/>
          <w:sz w:val="32"/>
          <w:szCs w:val="32"/>
        </w:rPr>
        <w:t xml:space="preserve">7. Información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5A3" w:sz="8"/>
              <w:left w:val="single" w:color="3185A3" w:sz="8"/>
              <w:bottom w:val="single" w:color="3185A3" w:sz="8"/>
              <w:right w:val="single" w:color="3185A3" w:sz="8"/>
            </w:tcBorders>
            <w:shd w:fill="EBF5FA" w:val="clear"/>
            <w:tcMar>
              <w:top w:type="dxa" w:w="160"/>
              <w:left w:type="dxa" w:w="200"/>
              <w:bottom w:type="dxa" w:w="160"/>
              <w:right w:type="dxa" w:w="200"/>
            </w:tcMar>
          </w:tcPr>
          <w:p>
            <w:pPr>
              <w:spacing w:after="40" w:before="40"/>
            </w:pPr>
            <w:r>
              <w:rPr>
                <w:rFonts w:ascii="Arial" w:cs="Arial" w:eastAsia="Arial" w:hAnsi="Arial"/>
                <w:color w:val="666666"/>
                <w:sz w:val="20"/>
                <w:szCs w:val="20"/>
              </w:rPr>
              <w:t xml:space="preserve">Aplicación desarrollada por:</w:t>
            </w:r>
          </w:p>
          <w:p>
            <w:pPr>
              <w:spacing w:after="80" w:before="40"/>
            </w:pPr>
            <w:r>
              <w:rPr>
                <w:rFonts w:ascii="Arial" w:cs="Arial" w:eastAsia="Arial" w:hAnsi="Arial"/>
                <w:b/>
                <w:bCs/>
                <w:color w:val="1F5F78"/>
                <w:sz w:val="28"/>
                <w:szCs w:val="28"/>
              </w:rPr>
              <w:t xml:space="preserve">Ing. Juan Carlos Espinoza González</w:t>
            </w:r>
          </w:p>
          <w:p>
            <w:pPr>
              <w:spacing w:after="40" w:before="0"/>
            </w:pPr>
            <w:r>
              <w:rPr>
                <w:rFonts w:ascii="Arial" w:cs="Arial" w:eastAsia="Arial" w:hAnsi="Arial"/>
                <w:color w:val="666666"/>
                <w:sz w:val="22"/>
                <w:szCs w:val="22"/>
              </w:rPr>
              <w:t xml:space="preserve">Director de Proyectos · Culebras Group</w:t>
            </w:r>
          </w:p>
          <w:p>
            <w:pPr>
              <w:spacing w:after="40" w:before="0"/>
            </w:pPr>
            <w:r>
              <w:rPr>
                <w:rFonts w:ascii="Arial" w:cs="Arial" w:eastAsia="Arial" w:hAnsi="Arial"/>
                <w:color w:val="666666"/>
                <w:sz w:val="22"/>
                <w:szCs w:val="22"/>
              </w:rPr>
              <w:t xml:space="preserve">CFIA · IC-25987</w:t>
            </w:r>
          </w:p>
          <w:p>
            <w:pPr>
              <w:spacing w:after="40" w:before="0"/>
            </w:pPr>
            <w:r>
              <w:rPr>
                <w:rFonts w:ascii="Arial" w:cs="Arial" w:eastAsia="Arial" w:hAnsi="Arial"/>
                <w:color w:val="666666"/>
                <w:sz w:val="22"/>
                <w:szCs w:val="22"/>
              </w:rPr>
              <w:t xml:space="preserve">Santa Pilar del Este Uno S.A. · Santo Domingo de Heredia, Costa Rica</w:t>
            </w:r>
          </w:p>
          <w:p>
            <w:pPr>
              <w:spacing w:after="40" w:before="80"/>
            </w:pPr>
            <w:r>
              <w:rPr>
                <w:rFonts w:ascii="Arial" w:cs="Arial" w:eastAsia="Arial" w:hAnsi="Arial"/>
                <w:b/>
                <w:bCs/>
                <w:color w:val="3185A3"/>
                <w:sz w:val="20"/>
                <w:szCs w:val="20"/>
              </w:rPr>
              <w:t xml:space="preserve">Versión 2.0 · Junio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185A3" w:sz="4" w:space="1"/>
      </w:pBdr>
      <w:jc w:val="right"/>
    </w:pPr>
    <w:r>
      <w:rPr>
        <w:rFonts w:ascii="Arial" w:cs="Arial" w:eastAsia="Arial" w:hAnsi="Arial"/>
        <w:color w:val="666666"/>
        <w:sz w:val="18"/>
        <w:szCs w:val="18"/>
      </w:rPr>
      <w:t xml:space="preserve">Culebras Group  ·  Ing. Juan Carlos Espinoza González  ·  Junio 2026  ·  Pág.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185A3" w:sz="4" w:space="1"/>
      </w:pBdr>
    </w:pPr>
    <w:r>
      <w:rPr>
        <w:rFonts w:ascii="Arial" w:cs="Arial" w:eastAsia="Arial" w:hAnsi="Arial"/>
        <w:color w:val="666666"/>
        <w:sz w:val="18"/>
        <w:szCs w:val="18"/>
      </w:rPr>
      <w:t xml:space="preserve">Culebras Group Field App  |  Documento Técnico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F78"/>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185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2026-06-06T20:41:25.461Z</dcterms:created>
  <dcterms:modified xsi:type="dcterms:W3CDTF">2026-06-06T20:41:25.461Z</dcterms:modified>
</cp:coreProperties>
</file>

<file path=docProps/custom.xml><?xml version="1.0" encoding="utf-8"?>
<Properties xmlns="http://schemas.openxmlformats.org/officeDocument/2006/custom-properties" xmlns:vt="http://schemas.openxmlformats.org/officeDocument/2006/docPropsVTypes"/>
</file>