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jc w:val="left"/>
        <w:rPr>
          <w:rFonts w:ascii="Calibri" w:cs="Calibri" w:eastAsia="Calibri" w:hAnsi="Calibri"/>
          <w:sz w:val="38"/>
          <w:szCs w:val="38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4923790</wp:posOffset>
            </wp:positionH>
            <wp:positionV relativeFrom="paragraph">
              <wp:posOffset>7620</wp:posOffset>
            </wp:positionV>
            <wp:extent cx="1098550" cy="891540"/>
            <wp:effectExtent b="0" l="0" r="0" t="0"/>
            <wp:wrapSquare wrapText="bothSides" distB="0" distT="0" distL="114300" distR="114300"/>
            <wp:docPr id="18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98550" cy="89154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-47623</wp:posOffset>
            </wp:positionH>
            <wp:positionV relativeFrom="paragraph">
              <wp:posOffset>0</wp:posOffset>
            </wp:positionV>
            <wp:extent cx="685800" cy="1162050"/>
            <wp:effectExtent b="0" l="0" r="0" t="0"/>
            <wp:wrapSquare wrapText="bothSides" distB="0" distT="0" distL="114300" distR="114300"/>
            <wp:docPr id="1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" cy="11620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spacing w:line="240" w:lineRule="auto"/>
        <w:jc w:val="center"/>
        <w:rPr>
          <w:rFonts w:ascii="Times New Roman" w:cs="Times New Roman" w:eastAsia="Times New Roman" w:hAnsi="Times New Roman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40" w:lineRule="auto"/>
        <w:jc w:val="center"/>
        <w:rPr>
          <w:rFonts w:ascii="Comic Sans MS" w:cs="Comic Sans MS" w:eastAsia="Comic Sans MS" w:hAnsi="Comic Sans MS"/>
          <w:sz w:val="38"/>
          <w:szCs w:val="38"/>
        </w:rPr>
      </w:pPr>
      <w:r w:rsidDel="00000000" w:rsidR="00000000" w:rsidRPr="00000000">
        <w:rPr>
          <w:rFonts w:ascii="Comic Sans MS" w:cs="Comic Sans MS" w:eastAsia="Comic Sans MS" w:hAnsi="Comic Sans MS"/>
          <w:sz w:val="38"/>
          <w:szCs w:val="38"/>
          <w:rtl w:val="0"/>
        </w:rPr>
        <w:t xml:space="preserve">“Año De La Recuperación Y Consolidación De La Economía Peruana”</w:t>
      </w:r>
    </w:p>
    <w:p w:rsidR="00000000" w:rsidDel="00000000" w:rsidP="00000000" w:rsidRDefault="00000000" w:rsidRPr="00000000" w14:paraId="00000004">
      <w:pPr>
        <w:spacing w:line="240" w:lineRule="auto"/>
        <w:jc w:val="center"/>
        <w:rPr>
          <w:rFonts w:ascii="Comic Sans MS" w:cs="Comic Sans MS" w:eastAsia="Comic Sans MS" w:hAnsi="Comic Sans MS"/>
          <w:sz w:val="28"/>
          <w:szCs w:val="28"/>
        </w:rPr>
      </w:pPr>
      <w:r w:rsidDel="00000000" w:rsidR="00000000" w:rsidRPr="00000000">
        <w:rPr>
          <w:rFonts w:ascii="Comic Sans MS" w:cs="Comic Sans MS" w:eastAsia="Comic Sans MS" w:hAnsi="Comic Sans MS"/>
          <w:sz w:val="34"/>
          <w:szCs w:val="34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40" w:lineRule="auto"/>
        <w:jc w:val="center"/>
        <w:rPr>
          <w:rFonts w:ascii="Comic Sans MS" w:cs="Comic Sans MS" w:eastAsia="Comic Sans MS" w:hAnsi="Comic Sans MS"/>
          <w:sz w:val="30"/>
          <w:szCs w:val="30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58"/>
          <w:szCs w:val="58"/>
          <w:rtl w:val="0"/>
        </w:rPr>
        <w:t xml:space="preserve">UNIVERSIDAD PERUANA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40" w:lineRule="auto"/>
        <w:jc w:val="center"/>
        <w:rPr>
          <w:rFonts w:ascii="Comic Sans MS" w:cs="Comic Sans MS" w:eastAsia="Comic Sans MS" w:hAnsi="Comic Sans MS"/>
          <w:sz w:val="30"/>
          <w:szCs w:val="30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58"/>
          <w:szCs w:val="58"/>
          <w:rtl w:val="0"/>
        </w:rPr>
        <w:t xml:space="preserve">LOS ANDES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40" w:lineRule="auto"/>
        <w:jc w:val="center"/>
        <w:rPr>
          <w:rFonts w:ascii="Comic Sans MS" w:cs="Comic Sans MS" w:eastAsia="Comic Sans MS" w:hAnsi="Comic Sans MS"/>
          <w:sz w:val="28"/>
          <w:szCs w:val="28"/>
        </w:rPr>
      </w:pPr>
      <w:r w:rsidDel="00000000" w:rsidR="00000000" w:rsidRPr="00000000">
        <w:rPr>
          <w:rFonts w:ascii="Comic Sans MS" w:cs="Comic Sans MS" w:eastAsia="Comic Sans MS" w:hAnsi="Comic Sans MS"/>
          <w:sz w:val="34"/>
          <w:szCs w:val="34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40" w:lineRule="auto"/>
        <w:jc w:val="center"/>
        <w:rPr>
          <w:rFonts w:ascii="Comic Sans MS" w:cs="Comic Sans MS" w:eastAsia="Comic Sans MS" w:hAnsi="Comic Sans MS"/>
          <w:sz w:val="30"/>
          <w:szCs w:val="30"/>
        </w:rPr>
      </w:pPr>
      <w:r w:rsidDel="00000000" w:rsidR="00000000" w:rsidRPr="00000000">
        <w:rPr>
          <w:rFonts w:ascii="Comic Sans MS" w:cs="Comic Sans MS" w:eastAsia="Comic Sans MS" w:hAnsi="Comic Sans MS"/>
          <w:sz w:val="38"/>
          <w:szCs w:val="38"/>
          <w:rtl w:val="0"/>
        </w:rPr>
        <w:t xml:space="preserve">“FACULTAD DE INGENIERÍA”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40" w:lineRule="auto"/>
        <w:jc w:val="center"/>
        <w:rPr>
          <w:rFonts w:ascii="Calibri" w:cs="Calibri" w:eastAsia="Calibri" w:hAnsi="Calibri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8"/>
          <w:szCs w:val="38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40" w:lineRule="auto"/>
        <w:jc w:val="center"/>
        <w:rPr>
          <w:rFonts w:ascii="Comic Sans MS" w:cs="Comic Sans MS" w:eastAsia="Comic Sans MS" w:hAnsi="Comic Sans MS"/>
          <w:sz w:val="30"/>
          <w:szCs w:val="30"/>
        </w:rPr>
      </w:pPr>
      <w:r w:rsidDel="00000000" w:rsidR="00000000" w:rsidRPr="00000000">
        <w:rPr>
          <w:rFonts w:ascii="Comic Sans MS" w:cs="Comic Sans MS" w:eastAsia="Comic Sans MS" w:hAnsi="Comic Sans MS"/>
          <w:sz w:val="38"/>
          <w:szCs w:val="38"/>
          <w:rtl w:val="0"/>
        </w:rPr>
        <w:t xml:space="preserve">ESCUELA PROFESIONAL “SISTEMAS Y COMPUTACIÓN”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line="240" w:lineRule="auto"/>
        <w:jc w:val="center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keepNext w:val="0"/>
        <w:keepLines w:val="0"/>
        <w:spacing w:before="480" w:line="276" w:lineRule="auto"/>
        <w:jc w:val="center"/>
        <w:rPr>
          <w:rFonts w:ascii="Smooch Sans" w:cs="Smooch Sans" w:eastAsia="Smooch Sans" w:hAnsi="Smooch Sans"/>
          <w:b w:val="1"/>
          <w:bCs w:val="1"/>
          <w:sz w:val="34"/>
          <w:szCs w:val="34"/>
        </w:rPr>
      </w:pPr>
      <w:bookmarkStart w:colFirst="0" w:colLast="0" w:name="_xnp2e2sltcp7" w:id="0"/>
      <w:bookmarkEnd w:id="0"/>
      <w:r w:rsidDel="00000000" w:rsidR="00000000" w:rsidRPr="00000000">
        <w:rPr>
          <w:rFonts w:ascii="Smooch Sans" w:cs="Smooch Sans" w:eastAsia="Smooch Sans" w:hAnsi="Smooch Sans"/>
          <w:b w:val="1"/>
          <w:bCs w:val="1"/>
          <w:sz w:val="46"/>
          <w:szCs w:val="46"/>
          <w:rtl w:val="0"/>
        </w:rPr>
        <w:t xml:space="preserve">Seguridad y Control de Acceso SEMANA 11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60" w:line="259" w:lineRule="auto"/>
        <w:jc w:val="center"/>
        <w:rPr>
          <w:rFonts w:ascii="Times New Roman" w:cs="Times New Roman" w:eastAsia="Times New Roman" w:hAnsi="Times New Roman"/>
          <w:b w:val="1"/>
          <w:bCs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60" w:line="259" w:lineRule="auto"/>
        <w:rPr>
          <w:rFonts w:ascii="Times New Roman" w:cs="Times New Roman" w:eastAsia="Times New Roman" w:hAnsi="Times New Roman"/>
          <w:sz w:val="38"/>
          <w:szCs w:val="3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8"/>
          <w:szCs w:val="38"/>
          <w:rtl w:val="0"/>
        </w:rPr>
        <w:t xml:space="preserve">CÁTEDRA:</w:t>
      </w:r>
      <w:r w:rsidDel="00000000" w:rsidR="00000000" w:rsidRPr="00000000">
        <w:rPr>
          <w:rFonts w:ascii="Times New Roman" w:cs="Times New Roman" w:eastAsia="Times New Roman" w:hAnsi="Times New Roman"/>
          <w:sz w:val="38"/>
          <w:szCs w:val="38"/>
          <w:rtl w:val="0"/>
        </w:rPr>
        <w:t xml:space="preserve"> Base de Datos II</w:t>
      </w:r>
    </w:p>
    <w:p w:rsidR="00000000" w:rsidDel="00000000" w:rsidP="00000000" w:rsidRDefault="00000000" w:rsidRPr="00000000" w14:paraId="0000000F">
      <w:pPr>
        <w:spacing w:after="160" w:line="259" w:lineRule="auto"/>
        <w:rPr>
          <w:rFonts w:ascii="Times New Roman" w:cs="Times New Roman" w:eastAsia="Times New Roman" w:hAnsi="Times New Roman"/>
          <w:sz w:val="38"/>
          <w:szCs w:val="3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8"/>
          <w:szCs w:val="38"/>
          <w:rtl w:val="0"/>
        </w:rPr>
        <w:t xml:space="preserve">CATEDRÁTICO: </w:t>
      </w:r>
      <w:r w:rsidDel="00000000" w:rsidR="00000000" w:rsidRPr="00000000">
        <w:rPr>
          <w:rFonts w:ascii="Times New Roman" w:cs="Times New Roman" w:eastAsia="Times New Roman" w:hAnsi="Times New Roman"/>
          <w:sz w:val="38"/>
          <w:szCs w:val="38"/>
          <w:rtl w:val="0"/>
        </w:rPr>
        <w:t xml:space="preserve">Ing. Fernandez Bejarano Raul Enrique</w:t>
      </w:r>
    </w:p>
    <w:p w:rsidR="00000000" w:rsidDel="00000000" w:rsidP="00000000" w:rsidRDefault="00000000" w:rsidRPr="00000000" w14:paraId="00000010">
      <w:pPr>
        <w:spacing w:after="160" w:line="259" w:lineRule="auto"/>
        <w:rPr>
          <w:rFonts w:ascii="Times New Roman" w:cs="Times New Roman" w:eastAsia="Times New Roman" w:hAnsi="Times New Roman"/>
          <w:sz w:val="38"/>
          <w:szCs w:val="3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8"/>
          <w:szCs w:val="38"/>
          <w:rtl w:val="0"/>
        </w:rPr>
        <w:t xml:space="preserve">ESTUDIANTE: </w:t>
      </w:r>
      <w:r w:rsidDel="00000000" w:rsidR="00000000" w:rsidRPr="00000000">
        <w:rPr>
          <w:rFonts w:ascii="Times New Roman" w:cs="Times New Roman" w:eastAsia="Times New Roman" w:hAnsi="Times New Roman"/>
          <w:sz w:val="38"/>
          <w:szCs w:val="38"/>
          <w:rtl w:val="0"/>
        </w:rPr>
        <w:t xml:space="preserve"> FLORES ESTRELLA Wilson Samir</w:t>
      </w:r>
    </w:p>
    <w:p w:rsidR="00000000" w:rsidDel="00000000" w:rsidP="00000000" w:rsidRDefault="00000000" w:rsidRPr="00000000" w14:paraId="00000011">
      <w:pPr>
        <w:spacing w:after="160" w:line="259" w:lineRule="auto"/>
        <w:rPr>
          <w:rFonts w:ascii="Times New Roman" w:cs="Times New Roman" w:eastAsia="Times New Roman" w:hAnsi="Times New Roman"/>
          <w:sz w:val="38"/>
          <w:szCs w:val="3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8"/>
          <w:szCs w:val="38"/>
          <w:rtl w:val="0"/>
        </w:rPr>
        <w:t xml:space="preserve">CICLO:</w:t>
      </w:r>
      <w:r w:rsidDel="00000000" w:rsidR="00000000" w:rsidRPr="00000000">
        <w:rPr>
          <w:rFonts w:ascii="Times New Roman" w:cs="Times New Roman" w:eastAsia="Times New Roman" w:hAnsi="Times New Roman"/>
          <w:sz w:val="38"/>
          <w:szCs w:val="38"/>
          <w:rtl w:val="0"/>
        </w:rPr>
        <w:t xml:space="preserve"> V</w:t>
      </w:r>
    </w:p>
    <w:p w:rsidR="00000000" w:rsidDel="00000000" w:rsidP="00000000" w:rsidRDefault="00000000" w:rsidRPr="00000000" w14:paraId="00000012">
      <w:pPr>
        <w:spacing w:after="160" w:line="259" w:lineRule="auto"/>
        <w:rPr>
          <w:rFonts w:ascii="Times New Roman" w:cs="Times New Roman" w:eastAsia="Times New Roman" w:hAnsi="Times New Roman"/>
          <w:sz w:val="38"/>
          <w:szCs w:val="3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8"/>
          <w:szCs w:val="38"/>
          <w:rtl w:val="0"/>
        </w:rPr>
        <w:t xml:space="preserve">SECCIÓN:</w:t>
      </w:r>
      <w:r w:rsidDel="00000000" w:rsidR="00000000" w:rsidRPr="00000000">
        <w:rPr>
          <w:rFonts w:ascii="Times New Roman" w:cs="Times New Roman" w:eastAsia="Times New Roman" w:hAnsi="Times New Roman"/>
          <w:sz w:val="38"/>
          <w:szCs w:val="38"/>
          <w:rtl w:val="0"/>
        </w:rPr>
        <w:t xml:space="preserve"> A1</w:t>
      </w:r>
    </w:p>
    <w:p w:rsidR="00000000" w:rsidDel="00000000" w:rsidP="00000000" w:rsidRDefault="00000000" w:rsidRPr="00000000" w14:paraId="00000013">
      <w:pPr>
        <w:spacing w:after="160" w:line="259" w:lineRule="auto"/>
        <w:jc w:val="center"/>
        <w:rPr>
          <w:rFonts w:ascii="Times New Roman" w:cs="Times New Roman" w:eastAsia="Times New Roman" w:hAnsi="Times New Roman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60" w:line="259" w:lineRule="auto"/>
        <w:jc w:val="center"/>
        <w:rPr>
          <w:rFonts w:ascii="Times New Roman" w:cs="Times New Roman" w:eastAsia="Times New Roman" w:hAnsi="Times New Roman"/>
          <w:sz w:val="38"/>
          <w:szCs w:val="3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8"/>
          <w:szCs w:val="38"/>
          <w:rtl w:val="0"/>
        </w:rPr>
        <w:t xml:space="preserve">HUANCAYO - PERÚ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60" w:line="259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160" w:line="259" w:lineRule="auto"/>
        <w:jc w:val="center"/>
        <w:rPr>
          <w:rFonts w:ascii="Comic Sans MS" w:cs="Comic Sans MS" w:eastAsia="Comic Sans MS" w:hAnsi="Comic Sans MS"/>
          <w:b w:val="1"/>
          <w:bCs w:val="1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ACTIVIDAD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Responda con claridad y precisión cada uno de los siguientes ejercicios prácticos. Para cada caso, utilice el siguiente formato estructurado:</w:t>
      </w:r>
    </w:p>
    <w:p w:rsidR="00000000" w:rsidDel="00000000" w:rsidP="00000000" w:rsidRDefault="00000000" w:rsidRPr="00000000" w14:paraId="00000018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Página 1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1. Enunciado del ejercicio 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2. Script de la solución en T-SQ4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3. Justificación técnica de la solución aplicada 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4 . Explicación de las buenas prácticas utilizadas en el proyecto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Proyecto 1:</w:t>
      </w:r>
      <w:r w:rsidDel="00000000" w:rsidR="00000000" w:rsidRPr="00000000">
        <w:rPr>
          <w:rtl w:val="0"/>
        </w:rPr>
        <w:t xml:space="preserve"> Autenticación: Comparación segura y configuración de logins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1. Enunciado del ejercicio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Crear en el servidor dos logins de prueba: uno con autenticación SQL (login_sql_alumno) y otro que represente un usuario Windows (DOMAIN\alumno_win - simulado), aplicar politicas de contraseñas y mapear ambos a usuarios en la base QhatuPeru. Mostrar cómo forzar expiración y comprobar la política de contraseñas.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6"/>
          <w:szCs w:val="26"/>
          <w:rtl w:val="0"/>
        </w:rPr>
        <w:t xml:space="preserve">1: Autenticación SQL y Windows (diferencias y prácticas seguras)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Script de la solución en T-SQL: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-438149</wp:posOffset>
            </wp:positionH>
            <wp:positionV relativeFrom="paragraph">
              <wp:posOffset>209550</wp:posOffset>
            </wp:positionV>
            <wp:extent cx="6115050" cy="5891055"/>
            <wp:effectExtent b="0" l="0" r="0" t="0"/>
            <wp:wrapNone/>
            <wp:docPr id="1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8"/>
                    <a:srcRect b="2176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5050" cy="589105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-628649</wp:posOffset>
            </wp:positionH>
            <wp:positionV relativeFrom="paragraph">
              <wp:posOffset>114300</wp:posOffset>
            </wp:positionV>
            <wp:extent cx="6300788" cy="5322352"/>
            <wp:effectExtent b="0" l="0" r="0" t="0"/>
            <wp:wrapNone/>
            <wp:docPr id="20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00788" cy="532235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-600074</wp:posOffset>
            </wp:positionH>
            <wp:positionV relativeFrom="paragraph">
              <wp:posOffset>114300</wp:posOffset>
            </wp:positionV>
            <wp:extent cx="7161105" cy="5281613"/>
            <wp:effectExtent b="0" l="0" r="0" t="0"/>
            <wp:wrapNone/>
            <wp:docPr id="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161105" cy="528161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-600074</wp:posOffset>
            </wp:positionH>
            <wp:positionV relativeFrom="paragraph">
              <wp:posOffset>142875</wp:posOffset>
            </wp:positionV>
            <wp:extent cx="7271228" cy="3273261"/>
            <wp:effectExtent b="0" l="0" r="0" t="0"/>
            <wp:wrapNone/>
            <wp:docPr id="14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271228" cy="327326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-1424</wp:posOffset>
            </wp:positionH>
            <wp:positionV relativeFrom="paragraph">
              <wp:posOffset>114300</wp:posOffset>
            </wp:positionV>
            <wp:extent cx="5731200" cy="1282700"/>
            <wp:effectExtent b="0" l="0" r="0" t="0"/>
            <wp:wrapNone/>
            <wp:docPr id="1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827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rFonts w:ascii="Comic Sans MS" w:cs="Comic Sans MS" w:eastAsia="Comic Sans MS" w:hAnsi="Comic Sans MS"/>
          <w:b w:val="1"/>
          <w:bCs w:val="1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4"/>
          <w:szCs w:val="24"/>
          <w:rtl w:val="0"/>
        </w:rPr>
        <w:t xml:space="preserve">Autenticación Windows</w:t>
      </w:r>
    </w:p>
    <w:p w:rsidR="00000000" w:rsidDel="00000000" w:rsidP="00000000" w:rsidRDefault="00000000" w:rsidRPr="00000000" w14:paraId="000000AB">
      <w:pPr>
        <w:rPr>
          <w:rFonts w:ascii="Comic Sans MS" w:cs="Comic Sans MS" w:eastAsia="Comic Sans MS" w:hAnsi="Comic Sans M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3500438" cy="2276768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00438" cy="2276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rFonts w:ascii="Comic Sans MS" w:cs="Comic Sans MS" w:eastAsia="Comic Sans MS" w:hAnsi="Comic Sans MS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rFonts w:ascii="Comic Sans MS" w:cs="Comic Sans MS" w:eastAsia="Comic Sans MS" w:hAnsi="Comic Sans MS"/>
          <w:b w:val="1"/>
          <w:bCs w:val="1"/>
          <w:sz w:val="26"/>
          <w:szCs w:val="26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6"/>
          <w:szCs w:val="26"/>
          <w:rtl w:val="0"/>
        </w:rPr>
        <w:t xml:space="preserve">Diferencias principales</w:t>
      </w:r>
    </w:p>
    <w:p w:rsidR="00000000" w:rsidDel="00000000" w:rsidP="00000000" w:rsidRDefault="00000000" w:rsidRPr="00000000" w14:paraId="000000B0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5731200" cy="2171700"/>
            <wp:effectExtent b="0" l="0" r="0" t="0"/>
            <wp:docPr id="7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7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rFonts w:ascii="Comic Sans MS" w:cs="Comic Sans MS" w:eastAsia="Comic Sans MS" w:hAnsi="Comic Sans M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rFonts w:ascii="Comic Sans MS" w:cs="Comic Sans MS" w:eastAsia="Comic Sans MS" w:hAnsi="Comic Sans M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rFonts w:ascii="Comic Sans MS" w:cs="Comic Sans MS" w:eastAsia="Comic Sans MS" w:hAnsi="Comic Sans M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rFonts w:ascii="Comic Sans MS" w:cs="Comic Sans MS" w:eastAsia="Comic Sans MS" w:hAnsi="Comic Sans M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rFonts w:ascii="Comic Sans MS" w:cs="Comic Sans MS" w:eastAsia="Comic Sans MS" w:hAnsi="Comic Sans MS"/>
          <w:b w:val="1"/>
          <w:bCs w:val="1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Justificación técnica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configuraron dos tipos de autenticación para el servidor SQL:</w:t>
      </w:r>
    </w:p>
    <w:p w:rsidR="00000000" w:rsidDel="00000000" w:rsidP="00000000" w:rsidRDefault="00000000" w:rsidRPr="00000000" w14:paraId="000000B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Autenticación SQL Server, que permite el acceso mediante credenciales internas (nombre y contraseña).</w:t>
        <w:br w:type="textWrapping"/>
      </w:r>
    </w:p>
    <w:p w:rsidR="00000000" w:rsidDel="00000000" w:rsidP="00000000" w:rsidRDefault="00000000" w:rsidRPr="00000000" w14:paraId="000000B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Autenticación de Windows, que integra la seguridad del sistema operativo para usuarios del dominio o del equipo.</w:t>
        <w:br w:type="textWrapping"/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 permite un control de acceso flexible, garantizando la seguridad y el aislamiento de cuentas según el entorno de trabajo.</w:t>
      </w:r>
    </w:p>
    <w:p w:rsidR="00000000" w:rsidDel="00000000" w:rsidP="00000000" w:rsidRDefault="00000000" w:rsidRPr="00000000" w14:paraId="000000BA">
      <w:pPr>
        <w:pStyle w:val="Heading3"/>
        <w:keepNext w:val="0"/>
        <w:keepLines w:val="0"/>
        <w:spacing w:before="280" w:lineRule="auto"/>
        <w:rPr>
          <w:rFonts w:ascii="Comic Sans MS" w:cs="Comic Sans MS" w:eastAsia="Comic Sans MS" w:hAnsi="Comic Sans MS"/>
          <w:b w:val="1"/>
          <w:bCs w:val="1"/>
          <w:color w:val="000000"/>
          <w:sz w:val="22"/>
          <w:szCs w:val="22"/>
        </w:rPr>
      </w:pPr>
      <w:bookmarkStart w:colFirst="0" w:colLast="0" w:name="_mozurgcyqkil" w:id="1"/>
      <w:bookmarkEnd w:id="1"/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000000"/>
          <w:sz w:val="22"/>
          <w:szCs w:val="22"/>
          <w:rtl w:val="0"/>
        </w:rPr>
        <w:t xml:space="preserve">Explicación técnica</w:t>
      </w:r>
    </w:p>
    <w:p w:rsidR="00000000" w:rsidDel="00000000" w:rsidP="00000000" w:rsidRDefault="00000000" w:rsidRPr="00000000" w14:paraId="000000BB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 LOGIN</w:t>
      </w:r>
      <w:r w:rsidDel="00000000" w:rsidR="00000000" w:rsidRPr="00000000">
        <w:rPr>
          <w:rtl w:val="0"/>
        </w:rPr>
        <w:t xml:space="preserve"> define el inicio de sesión a nivel de servidor.</w:t>
        <w:br w:type="textWrapping"/>
      </w:r>
    </w:p>
    <w:p w:rsidR="00000000" w:rsidDel="00000000" w:rsidP="00000000" w:rsidRDefault="00000000" w:rsidRPr="00000000" w14:paraId="000000B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 USER</w:t>
      </w:r>
      <w:r w:rsidDel="00000000" w:rsidR="00000000" w:rsidRPr="00000000">
        <w:rPr>
          <w:rtl w:val="0"/>
        </w:rPr>
        <w:t xml:space="preserve"> asocia ese inicio de sesión a la base de datos específica.</w:t>
        <w:br w:type="textWrapping"/>
      </w:r>
    </w:p>
    <w:p w:rsidR="00000000" w:rsidDel="00000000" w:rsidP="00000000" w:rsidRDefault="00000000" w:rsidRPr="00000000" w14:paraId="000000B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autenticación dual (SQL + Windows) proporciona redundancia y soporte para diferentes escenarios de conexión.</w:t>
        <w:br w:type="textWrapping"/>
      </w:r>
    </w:p>
    <w:p w:rsidR="00000000" w:rsidDel="00000000" w:rsidP="00000000" w:rsidRDefault="00000000" w:rsidRPr="00000000" w14:paraId="000000BE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La política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CHECK_POLICY = OFF</w:t>
      </w:r>
      <w:r w:rsidDel="00000000" w:rsidR="00000000" w:rsidRPr="00000000">
        <w:rPr>
          <w:rtl w:val="0"/>
        </w:rPr>
        <w:t xml:space="preserve"> se desactiva solo en entornos de práctica para evitar errores por complejidad de contraseña.</w:t>
        <w:br w:type="textWrapping"/>
      </w:r>
    </w:p>
    <w:p w:rsidR="00000000" w:rsidDel="00000000" w:rsidP="00000000" w:rsidRDefault="00000000" w:rsidRPr="00000000" w14:paraId="000000B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sl7hy7ngzks6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bzyp6f43kpky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3"/>
        <w:keepNext w:val="0"/>
        <w:keepLines w:val="0"/>
        <w:spacing w:before="280" w:lineRule="auto"/>
        <w:rPr>
          <w:rFonts w:ascii="Comic Sans MS" w:cs="Comic Sans MS" w:eastAsia="Comic Sans MS" w:hAnsi="Comic Sans MS"/>
          <w:b w:val="1"/>
          <w:bCs w:val="1"/>
          <w:color w:val="000000"/>
          <w:sz w:val="22"/>
          <w:szCs w:val="22"/>
        </w:rPr>
      </w:pPr>
      <w:bookmarkStart w:colFirst="0" w:colLast="0" w:name="_ixhc1bo2dqor" w:id="4"/>
      <w:bookmarkEnd w:id="4"/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000000"/>
          <w:sz w:val="22"/>
          <w:szCs w:val="22"/>
          <w:rtl w:val="0"/>
        </w:rPr>
        <w:t xml:space="preserve">Buenas prácticas aplicadas</w:t>
      </w:r>
    </w:p>
    <w:p w:rsidR="00000000" w:rsidDel="00000000" w:rsidP="00000000" w:rsidRDefault="00000000" w:rsidRPr="00000000" w14:paraId="000000C2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Implementación de autenticación mixta para mayor compatibilidad.</w:t>
        <w:br w:type="textWrapping"/>
      </w:r>
    </w:p>
    <w:p w:rsidR="00000000" w:rsidDel="00000000" w:rsidP="00000000" w:rsidRDefault="00000000" w:rsidRPr="00000000" w14:paraId="000000C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Separación entre login y user para mantener la seguridad por niveles.</w:t>
        <w:br w:type="textWrapping"/>
      </w:r>
    </w:p>
    <w:p w:rsidR="00000000" w:rsidDel="00000000" w:rsidP="00000000" w:rsidRDefault="00000000" w:rsidRPr="00000000" w14:paraId="000000C4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Nomenclatura clara y coherente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UsuarioQhatu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QhatuAdmin</w:t>
      </w:r>
      <w:r w:rsidDel="00000000" w:rsidR="00000000" w:rsidRPr="00000000">
        <w:rPr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0C5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Verificación de creación mediante consulta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sys.database_principals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C6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Uso de contraseñas seguras y asignación explícita a la base QhatuPeru.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240" w:before="240" w:lineRule="auto"/>
        <w:rPr>
          <w:rFonts w:ascii="Comic Sans MS" w:cs="Comic Sans MS" w:eastAsia="Comic Sans MS" w:hAnsi="Comic Sans MS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240" w:before="240" w:lineRule="auto"/>
        <w:rPr>
          <w:rFonts w:ascii="Comic Sans MS" w:cs="Comic Sans MS" w:eastAsia="Comic Sans MS" w:hAnsi="Comic Sans MS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240" w:before="240" w:lineRule="auto"/>
        <w:rPr>
          <w:rFonts w:ascii="Comic Sans MS" w:cs="Comic Sans MS" w:eastAsia="Comic Sans MS" w:hAnsi="Comic Sans MS"/>
          <w:b w:val="1"/>
          <w:bCs w:val="1"/>
          <w:sz w:val="26"/>
          <w:szCs w:val="26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6"/>
          <w:szCs w:val="26"/>
          <w:rtl w:val="0"/>
        </w:rPr>
        <w:t xml:space="preserve">2: Cuentas de servicio y configuración del servidor QhatuPeru</w:t>
      </w:r>
    </w:p>
    <w:p w:rsidR="00000000" w:rsidDel="00000000" w:rsidP="00000000" w:rsidRDefault="00000000" w:rsidRPr="00000000" w14:paraId="000000CA">
      <w:pPr>
        <w:pStyle w:val="Heading3"/>
        <w:keepNext w:val="0"/>
        <w:keepLines w:val="0"/>
        <w:spacing w:before="280" w:lineRule="auto"/>
        <w:rPr>
          <w:rFonts w:ascii="Comic Sans MS" w:cs="Comic Sans MS" w:eastAsia="Comic Sans MS" w:hAnsi="Comic Sans MS"/>
          <w:b w:val="1"/>
          <w:bCs w:val="1"/>
          <w:color w:val="000000"/>
          <w:sz w:val="22"/>
          <w:szCs w:val="22"/>
        </w:rPr>
      </w:pPr>
      <w:bookmarkStart w:colFirst="0" w:colLast="0" w:name="_9o10oh47c7n3" w:id="5"/>
      <w:bookmarkEnd w:id="5"/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000000"/>
          <w:sz w:val="22"/>
          <w:szCs w:val="22"/>
          <w:rtl w:val="0"/>
        </w:rPr>
        <w:t xml:space="preserve">Ejercicio práctico</w:t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Configurar cuentas de servicio en el servidor SQL y asignar los permisos necesarios para las operaciones de lectura y escritura en la base de datos QhatuPeru, asegurando un correcto control de acceso.</w:t>
      </w:r>
    </w:p>
    <w:p w:rsidR="00000000" w:rsidDel="00000000" w:rsidP="00000000" w:rsidRDefault="00000000" w:rsidRPr="00000000" w14:paraId="000000CC">
      <w:pPr>
        <w:spacing w:after="240" w:before="240" w:lineRule="auto"/>
        <w:rPr>
          <w:rFonts w:ascii="Comic Sans MS" w:cs="Comic Sans MS" w:eastAsia="Comic Sans MS" w:hAnsi="Comic Sans MS"/>
          <w:b w:val="1"/>
          <w:bCs w:val="1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Script de la solución en T-SQL</w:t>
      </w:r>
    </w:p>
    <w:p w:rsidR="00000000" w:rsidDel="00000000" w:rsidP="00000000" w:rsidRDefault="00000000" w:rsidRPr="00000000" w14:paraId="000000CD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5300663" cy="2196507"/>
            <wp:effectExtent b="0" l="0" r="0" t="0"/>
            <wp:docPr id="16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5"/>
                    <a:srcRect b="1437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00663" cy="219650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240" w:before="240" w:lineRule="auto"/>
        <w:rPr>
          <w:rFonts w:ascii="Comic Sans MS" w:cs="Comic Sans MS" w:eastAsia="Comic Sans MS" w:hAnsi="Comic Sans MS"/>
          <w:b w:val="1"/>
          <w:bCs w:val="1"/>
          <w:sz w:val="26"/>
          <w:szCs w:val="26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6"/>
          <w:szCs w:val="26"/>
        </w:rPr>
        <w:drawing>
          <wp:inline distB="114300" distT="114300" distL="114300" distR="114300">
            <wp:extent cx="5338763" cy="2505075"/>
            <wp:effectExtent b="0" l="0" r="0" t="0"/>
            <wp:docPr id="9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38763" cy="2505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240" w:before="240" w:lineRule="auto"/>
        <w:rPr>
          <w:rFonts w:ascii="Comic Sans MS" w:cs="Comic Sans MS" w:eastAsia="Comic Sans MS" w:hAnsi="Comic Sans M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240" w:before="240" w:lineRule="auto"/>
        <w:rPr>
          <w:rFonts w:ascii="Comic Sans MS" w:cs="Comic Sans MS" w:eastAsia="Comic Sans MS" w:hAnsi="Comic Sans M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240" w:before="240" w:lineRule="auto"/>
        <w:rPr>
          <w:rFonts w:ascii="Comic Sans MS" w:cs="Comic Sans MS" w:eastAsia="Comic Sans MS" w:hAnsi="Comic Sans M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240" w:before="240" w:lineRule="auto"/>
        <w:rPr>
          <w:rFonts w:ascii="Comic Sans MS" w:cs="Comic Sans MS" w:eastAsia="Comic Sans MS" w:hAnsi="Comic Sans M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240" w:before="240" w:lineRule="auto"/>
        <w:rPr>
          <w:rFonts w:ascii="Comic Sans MS" w:cs="Comic Sans MS" w:eastAsia="Comic Sans MS" w:hAnsi="Comic Sans M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240" w:before="240" w:lineRule="auto"/>
        <w:rPr>
          <w:rFonts w:ascii="Comic Sans MS" w:cs="Comic Sans MS" w:eastAsia="Comic Sans MS" w:hAnsi="Comic Sans MS"/>
          <w:b w:val="1"/>
          <w:bCs w:val="1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Justificación técnica de la solución aplicada</w:t>
      </w:r>
    </w:p>
    <w:p w:rsidR="00000000" w:rsidDel="00000000" w:rsidP="00000000" w:rsidRDefault="00000000" w:rsidRPr="00000000" w14:paraId="000000D5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 utilizó el usuario UsuarioQhatu, ya existente, como cuenta de servicio principal para la base de datos.</w:t>
        <w:br w:type="textWrapping"/>
      </w:r>
    </w:p>
    <w:p w:rsidR="00000000" w:rsidDel="00000000" w:rsidP="00000000" w:rsidRDefault="00000000" w:rsidRPr="00000000" w14:paraId="000000D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 asignaron los roles db_datareader (lectura) y db_datawriter (escritura), permitiendo que el servicio pueda consultar y modificar registros según las necesidades operativas.</w:t>
        <w:br w:type="textWrapping"/>
      </w:r>
    </w:p>
    <w:p w:rsidR="00000000" w:rsidDel="00000000" w:rsidP="00000000" w:rsidRDefault="00000000" w:rsidRPr="00000000" w14:paraId="000000D7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se crearon usuarios duplicados, evitando conflictos en la asignación de logins y manteniendo integridad en la seguridad del servidor.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Style w:val="Heading3"/>
        <w:keepNext w:val="0"/>
        <w:keepLines w:val="0"/>
        <w:spacing w:before="280" w:lineRule="auto"/>
        <w:rPr>
          <w:rFonts w:ascii="Comic Sans MS" w:cs="Comic Sans MS" w:eastAsia="Comic Sans MS" w:hAnsi="Comic Sans MS"/>
          <w:b w:val="1"/>
          <w:bCs w:val="1"/>
          <w:color w:val="000000"/>
          <w:sz w:val="22"/>
          <w:szCs w:val="22"/>
        </w:rPr>
      </w:pPr>
      <w:bookmarkStart w:colFirst="0" w:colLast="0" w:name="_heq3xx9fg100" w:id="6"/>
      <w:bookmarkEnd w:id="6"/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000000"/>
          <w:sz w:val="22"/>
          <w:szCs w:val="22"/>
          <w:rtl w:val="0"/>
        </w:rPr>
        <w:t xml:space="preserve">Explicación de las buenas prácticas utilizadas en el proyecto</w:t>
      </w:r>
    </w:p>
    <w:p w:rsidR="00000000" w:rsidDel="00000000" w:rsidP="00000000" w:rsidRDefault="00000000" w:rsidRPr="00000000" w14:paraId="000000D9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Principio de mínimo privilegio: Solo se otorgaron permisos estrictamente necesarios (lectura/escritura).</w:t>
        <w:br w:type="textWrapping"/>
      </w:r>
    </w:p>
    <w:p w:rsidR="00000000" w:rsidDel="00000000" w:rsidP="00000000" w:rsidRDefault="00000000" w:rsidRPr="00000000" w14:paraId="000000D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Reutilización de cuentas existentes: Se evitó la creación redundante de usuarios, manteniendo una estructura de seguridad ordenada.</w:t>
        <w:br w:type="textWrapping"/>
      </w:r>
    </w:p>
    <w:p w:rsidR="00000000" w:rsidDel="00000000" w:rsidP="00000000" w:rsidRDefault="00000000" w:rsidRPr="00000000" w14:paraId="000000D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Validación posterior: Se verificó la correcta asignación mediante consultas a los roles del sistema.</w:t>
        <w:br w:type="textWrapping"/>
      </w:r>
    </w:p>
    <w:p w:rsidR="00000000" w:rsidDel="00000000" w:rsidP="00000000" w:rsidRDefault="00000000" w:rsidRPr="00000000" w14:paraId="000000DC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Gestión controlada de cuentas de servicio: Permite rastrear las operaciones realizadas por servicios o procesos automáticos del sistema QhatuPeru.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2"/>
        <w:keepNext w:val="0"/>
        <w:keepLines w:val="0"/>
        <w:spacing w:after="80" w:lineRule="auto"/>
        <w:rPr>
          <w:rFonts w:ascii="Comic Sans MS" w:cs="Comic Sans MS" w:eastAsia="Comic Sans MS" w:hAnsi="Comic Sans MS"/>
          <w:b w:val="1"/>
          <w:bCs w:val="1"/>
        </w:rPr>
      </w:pPr>
      <w:bookmarkStart w:colFirst="0" w:colLast="0" w:name="_dx6ooswpsicf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2"/>
        <w:keepNext w:val="0"/>
        <w:keepLines w:val="0"/>
        <w:spacing w:after="80" w:lineRule="auto"/>
        <w:rPr>
          <w:rFonts w:ascii="Comic Sans MS" w:cs="Comic Sans MS" w:eastAsia="Comic Sans MS" w:hAnsi="Comic Sans MS"/>
          <w:b w:val="1"/>
          <w:bCs w:val="1"/>
        </w:rPr>
      </w:pPr>
      <w:bookmarkStart w:colFirst="0" w:colLast="0" w:name="_eyb1e7uw2j8g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2"/>
        <w:keepNext w:val="0"/>
        <w:keepLines w:val="0"/>
        <w:spacing w:after="80" w:lineRule="auto"/>
        <w:rPr>
          <w:rFonts w:ascii="Comic Sans MS" w:cs="Comic Sans MS" w:eastAsia="Comic Sans MS" w:hAnsi="Comic Sans MS"/>
          <w:b w:val="1"/>
          <w:bCs w:val="1"/>
        </w:rPr>
      </w:pPr>
      <w:bookmarkStart w:colFirst="0" w:colLast="0" w:name="_5n06sbstfoal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Style w:val="Heading2"/>
        <w:keepNext w:val="0"/>
        <w:keepLines w:val="0"/>
        <w:spacing w:after="80" w:lineRule="auto"/>
        <w:rPr>
          <w:rFonts w:ascii="Comic Sans MS" w:cs="Comic Sans MS" w:eastAsia="Comic Sans MS" w:hAnsi="Comic Sans MS"/>
          <w:b w:val="1"/>
          <w:bCs w:val="1"/>
        </w:rPr>
      </w:pPr>
      <w:bookmarkStart w:colFirst="0" w:colLast="0" w:name="_b92b8wnvhfq0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Style w:val="Heading2"/>
        <w:keepNext w:val="0"/>
        <w:keepLines w:val="0"/>
        <w:spacing w:after="80" w:lineRule="auto"/>
        <w:rPr>
          <w:rFonts w:ascii="Comic Sans MS" w:cs="Comic Sans MS" w:eastAsia="Comic Sans MS" w:hAnsi="Comic Sans MS"/>
          <w:b w:val="1"/>
          <w:bCs w:val="1"/>
        </w:rPr>
      </w:pPr>
      <w:bookmarkStart w:colFirst="0" w:colLast="0" w:name="_myhn6mdn7l8n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Style w:val="Heading2"/>
        <w:keepNext w:val="0"/>
        <w:keepLines w:val="0"/>
        <w:spacing w:after="80" w:lineRule="auto"/>
        <w:rPr>
          <w:rFonts w:ascii="Comic Sans MS" w:cs="Comic Sans MS" w:eastAsia="Comic Sans MS" w:hAnsi="Comic Sans MS"/>
          <w:b w:val="1"/>
          <w:bCs w:val="1"/>
        </w:rPr>
      </w:pPr>
      <w:bookmarkStart w:colFirst="0" w:colLast="0" w:name="_yrersnoar3yc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Heading2"/>
        <w:keepNext w:val="0"/>
        <w:keepLines w:val="0"/>
        <w:spacing w:after="80" w:lineRule="auto"/>
        <w:rPr>
          <w:rFonts w:ascii="Comic Sans MS" w:cs="Comic Sans MS" w:eastAsia="Comic Sans MS" w:hAnsi="Comic Sans MS"/>
          <w:b w:val="1"/>
          <w:bCs w:val="1"/>
        </w:rPr>
      </w:pPr>
      <w:bookmarkStart w:colFirst="0" w:colLast="0" w:name="_t5y49qjkl4am" w:id="13"/>
      <w:bookmarkEnd w:id="13"/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3: Creación de roles fijos y personalizados en QhatuPeru</w:t>
      </w:r>
    </w:p>
    <w:p w:rsidR="00000000" w:rsidDel="00000000" w:rsidP="00000000" w:rsidRDefault="00000000" w:rsidRPr="00000000" w14:paraId="000000E5">
      <w:pPr>
        <w:pStyle w:val="Heading3"/>
        <w:keepNext w:val="0"/>
        <w:keepLines w:val="0"/>
        <w:spacing w:before="280" w:lineRule="auto"/>
        <w:rPr>
          <w:rFonts w:ascii="Comic Sans MS" w:cs="Comic Sans MS" w:eastAsia="Comic Sans MS" w:hAnsi="Comic Sans MS"/>
          <w:b w:val="1"/>
          <w:bCs w:val="1"/>
          <w:color w:val="000000"/>
          <w:sz w:val="26"/>
          <w:szCs w:val="26"/>
        </w:rPr>
      </w:pPr>
      <w:bookmarkStart w:colFirst="0" w:colLast="0" w:name="_wdb80u16x2a5" w:id="14"/>
      <w:bookmarkEnd w:id="14"/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000000"/>
          <w:sz w:val="26"/>
          <w:szCs w:val="26"/>
          <w:rtl w:val="0"/>
        </w:rPr>
        <w:t xml:space="preserve">Ejercicio práctico</w:t>
      </w:r>
    </w:p>
    <w:p w:rsidR="00000000" w:rsidDel="00000000" w:rsidP="00000000" w:rsidRDefault="00000000" w:rsidRPr="00000000" w14:paraId="000000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Crear los usuarios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VendedorQhatu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ConsultaCliente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b) Asignar los roles y permisos correspondientes sobre las tablas del sistema.s.</w:t>
      </w:r>
    </w:p>
    <w:p w:rsidR="00000000" w:rsidDel="00000000" w:rsidP="00000000" w:rsidRDefault="00000000" w:rsidRPr="00000000" w14:paraId="000000E8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4914900" cy="2571750"/>
            <wp:effectExtent b="0" l="0" r="0" t="0"/>
            <wp:docPr id="15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14900" cy="2571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i91l5x1i5ob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Style w:val="Heading3"/>
        <w:keepNext w:val="0"/>
        <w:keepLines w:val="0"/>
        <w:spacing w:before="280" w:lineRule="auto"/>
        <w:rPr>
          <w:rFonts w:ascii="Comic Sans MS" w:cs="Comic Sans MS" w:eastAsia="Comic Sans MS" w:hAnsi="Comic Sans MS"/>
          <w:b w:val="1"/>
          <w:bCs w:val="1"/>
          <w:color w:val="000000"/>
          <w:sz w:val="26"/>
          <w:szCs w:val="26"/>
        </w:rPr>
      </w:pPr>
      <w:bookmarkStart w:colFirst="0" w:colLast="0" w:name="_ky3915daxou" w:id="16"/>
      <w:bookmarkEnd w:id="16"/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000000"/>
          <w:sz w:val="26"/>
          <w:szCs w:val="26"/>
          <w:rtl w:val="0"/>
        </w:rPr>
        <w:t xml:space="preserve">Justificación técnica</w:t>
      </w:r>
    </w:p>
    <w:p w:rsidR="00000000" w:rsidDel="00000000" w:rsidP="00000000" w:rsidRDefault="00000000" w:rsidRPr="00000000" w14:paraId="000000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proyecto implementa seguridad basada en roles, asignando permisos mínimos necesarios para cada tipo de usuario.</w:t>
        <w:br w:type="textWrapping"/>
        <w:t xml:space="preserve"> El rol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VendedorQhatu</w:t>
      </w:r>
      <w:r w:rsidDel="00000000" w:rsidR="00000000" w:rsidRPr="00000000">
        <w:rPr>
          <w:rtl w:val="0"/>
        </w:rPr>
        <w:t xml:space="preserve"> puede realizar operaciones sobre los pedidos, mientras que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ConsultaCliente</w:t>
      </w:r>
      <w:r w:rsidDel="00000000" w:rsidR="00000000" w:rsidRPr="00000000">
        <w:rPr>
          <w:rtl w:val="0"/>
        </w:rPr>
        <w:t xml:space="preserve"> solo puede leer información.</w:t>
        <w:br w:type="textWrapping"/>
        <w:t xml:space="preserve"> Se aplican los principios de </w:t>
      </w:r>
      <w:r w:rsidDel="00000000" w:rsidR="00000000" w:rsidRPr="00000000">
        <w:rPr>
          <w:b w:val="1"/>
          <w:bCs w:val="1"/>
          <w:rtl w:val="0"/>
        </w:rPr>
        <w:t xml:space="preserve">seguridad y mínimo privilegio</w:t>
      </w:r>
      <w:r w:rsidDel="00000000" w:rsidR="00000000" w:rsidRPr="00000000">
        <w:rPr>
          <w:rtl w:val="0"/>
        </w:rPr>
        <w:t xml:space="preserve"> mediante comandos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GRANT</w:t>
      </w:r>
      <w:r w:rsidDel="00000000" w:rsidR="00000000" w:rsidRPr="00000000">
        <w:rPr>
          <w:rtl w:val="0"/>
        </w:rPr>
        <w:t xml:space="preserve"> para controlar el acceso.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Style w:val="Heading3"/>
        <w:keepNext w:val="0"/>
        <w:keepLines w:val="0"/>
        <w:spacing w:before="280" w:lineRule="auto"/>
        <w:rPr>
          <w:rFonts w:ascii="Comic Sans MS" w:cs="Comic Sans MS" w:eastAsia="Comic Sans MS" w:hAnsi="Comic Sans MS"/>
          <w:b w:val="1"/>
          <w:bCs w:val="1"/>
          <w:color w:val="000000"/>
          <w:sz w:val="26"/>
          <w:szCs w:val="26"/>
        </w:rPr>
      </w:pPr>
      <w:bookmarkStart w:colFirst="0" w:colLast="0" w:name="_6v3l6jjpzvd7" w:id="17"/>
      <w:bookmarkEnd w:id="17"/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000000"/>
          <w:sz w:val="26"/>
          <w:szCs w:val="26"/>
          <w:rtl w:val="0"/>
        </w:rPr>
        <w:t xml:space="preserve">Buenas prácticas aplicadas</w:t>
      </w:r>
    </w:p>
    <w:p w:rsidR="00000000" w:rsidDel="00000000" w:rsidP="00000000" w:rsidRDefault="00000000" w:rsidRPr="00000000" w14:paraId="000000ED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Uso de roles diferenciados para separar funciones de escritura y consulta.</w:t>
        <w:br w:type="textWrapping"/>
      </w:r>
    </w:p>
    <w:p w:rsidR="00000000" w:rsidDel="00000000" w:rsidP="00000000" w:rsidRDefault="00000000" w:rsidRPr="00000000" w14:paraId="000000E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Restricción de permisos para evitar modificaciones accidentales en tablas sensibles.</w:t>
        <w:br w:type="textWrapping"/>
      </w:r>
    </w:p>
    <w:p w:rsidR="00000000" w:rsidDel="00000000" w:rsidP="00000000" w:rsidRDefault="00000000" w:rsidRPr="00000000" w14:paraId="000000E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Verificación con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sp_helprotect</w:t>
      </w:r>
      <w:r w:rsidDel="00000000" w:rsidR="00000000" w:rsidRPr="00000000">
        <w:rPr>
          <w:rtl w:val="0"/>
        </w:rPr>
        <w:t xml:space="preserve"> para auditar los permisos concedidos.</w:t>
        <w:br w:type="textWrapping"/>
      </w:r>
    </w:p>
    <w:p w:rsidR="00000000" w:rsidDel="00000000" w:rsidP="00000000" w:rsidRDefault="00000000" w:rsidRPr="00000000" w14:paraId="000000F0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Aplicación de la política de </w:t>
      </w:r>
      <w:r w:rsidDel="00000000" w:rsidR="00000000" w:rsidRPr="00000000">
        <w:rPr>
          <w:b w:val="1"/>
          <w:bCs w:val="1"/>
          <w:rtl w:val="0"/>
        </w:rPr>
        <w:t xml:space="preserve">seguridad granular</w:t>
      </w:r>
      <w:r w:rsidDel="00000000" w:rsidR="00000000" w:rsidRPr="00000000">
        <w:rPr>
          <w:rtl w:val="0"/>
        </w:rPr>
        <w:t xml:space="preserve"> en base de datos.</w:t>
      </w:r>
    </w:p>
    <w:p w:rsidR="00000000" w:rsidDel="00000000" w:rsidP="00000000" w:rsidRDefault="00000000" w:rsidRPr="00000000" w14:paraId="000000F1">
      <w:pPr>
        <w:rPr>
          <w:rFonts w:ascii="Comic Sans MS" w:cs="Comic Sans MS" w:eastAsia="Comic Sans MS" w:hAnsi="Comic Sans MS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>
          <w:rFonts w:ascii="Comic Sans MS" w:cs="Comic Sans MS" w:eastAsia="Comic Sans MS" w:hAnsi="Comic Sans MS"/>
          <w:b w:val="1"/>
          <w:bCs w:val="1"/>
          <w:sz w:val="30"/>
          <w:szCs w:val="30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30"/>
          <w:szCs w:val="30"/>
          <w:rtl w:val="0"/>
        </w:rPr>
        <w:t xml:space="preserve">4: Control de acceso mediante GRANT, DENY y REVOKE</w:t>
      </w:r>
    </w:p>
    <w:p w:rsidR="00000000" w:rsidDel="00000000" w:rsidP="00000000" w:rsidRDefault="00000000" w:rsidRPr="00000000" w14:paraId="000000F3">
      <w:pPr>
        <w:rPr>
          <w:rFonts w:ascii="Comic Sans MS" w:cs="Comic Sans MS" w:eastAsia="Comic Sans MS" w:hAnsi="Comic Sans MS"/>
          <w:b w:val="1"/>
          <w:bCs w:val="1"/>
          <w:sz w:val="30"/>
          <w:szCs w:val="30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30"/>
          <w:szCs w:val="30"/>
          <w:rtl w:val="0"/>
        </w:rPr>
        <w:t xml:space="preserve">Script en T-SQL</w:t>
      </w:r>
    </w:p>
    <w:p w:rsidR="00000000" w:rsidDel="00000000" w:rsidP="00000000" w:rsidRDefault="00000000" w:rsidRPr="00000000" w14:paraId="000000F4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</w:rPr>
        <w:drawing>
          <wp:inline distB="114300" distT="114300" distL="114300" distR="114300">
            <wp:extent cx="5731200" cy="2171700"/>
            <wp:effectExtent b="0" l="0" r="0" t="0"/>
            <wp:docPr id="17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7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b w:val="1"/>
          <w:bCs w:val="1"/>
          <w:sz w:val="32"/>
          <w:szCs w:val="32"/>
        </w:rPr>
        <w:drawing>
          <wp:inline distB="114300" distT="114300" distL="114300" distR="114300">
            <wp:extent cx="4933950" cy="962025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33950" cy="962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Style w:val="Heading3"/>
        <w:keepNext w:val="0"/>
        <w:keepLines w:val="0"/>
        <w:spacing w:before="280" w:lineRule="auto"/>
        <w:rPr>
          <w:rFonts w:ascii="Comic Sans MS" w:cs="Comic Sans MS" w:eastAsia="Comic Sans MS" w:hAnsi="Comic Sans MS"/>
          <w:b w:val="1"/>
          <w:bCs w:val="1"/>
          <w:color w:val="000000"/>
          <w:sz w:val="26"/>
          <w:szCs w:val="26"/>
        </w:rPr>
      </w:pPr>
      <w:bookmarkStart w:colFirst="0" w:colLast="0" w:name="_rysw0qohjasl" w:id="18"/>
      <w:bookmarkEnd w:id="18"/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000000"/>
          <w:sz w:val="26"/>
          <w:szCs w:val="26"/>
          <w:rtl w:val="0"/>
        </w:rPr>
        <w:t xml:space="preserve">Justificación técnica</w:t>
      </w:r>
    </w:p>
    <w:p w:rsidR="00000000" w:rsidDel="00000000" w:rsidP="00000000" w:rsidRDefault="00000000" w:rsidRPr="00000000" w14:paraId="000000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uso de GRANT, DENY y REVOKE permite administrar la seguridad de manera granular:</w:t>
      </w:r>
    </w:p>
    <w:p w:rsidR="00000000" w:rsidDel="00000000" w:rsidP="00000000" w:rsidRDefault="00000000" w:rsidRPr="00000000" w14:paraId="000000F8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GRANT autoriza una acción sobre un objeto (por ejemplo, SELECT o INSERT).</w:t>
        <w:br w:type="textWrapping"/>
      </w:r>
    </w:p>
    <w:p w:rsidR="00000000" w:rsidDel="00000000" w:rsidP="00000000" w:rsidRDefault="00000000" w:rsidRPr="00000000" w14:paraId="000000F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DENY prohíbe una acción, incluso si el usuario pertenece a un rol con permiso.</w:t>
        <w:br w:type="textWrapping"/>
      </w:r>
    </w:p>
    <w:p w:rsidR="00000000" w:rsidDel="00000000" w:rsidP="00000000" w:rsidRDefault="00000000" w:rsidRPr="00000000" w14:paraId="000000FA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REVOKE elimina un permiso sin negarlo explícitamente.</w:t>
        <w:br w:type="textWrapping"/>
      </w:r>
    </w:p>
    <w:p w:rsidR="00000000" w:rsidDel="00000000" w:rsidP="00000000" w:rsidRDefault="00000000" w:rsidRPr="00000000" w14:paraId="000000FB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rtl w:val="0"/>
        </w:rPr>
        <w:t xml:space="preserve">Esto asegura que cada usuario tenga únicamente los permisos necesarios según su función</w:t>
      </w:r>
      <w:r w:rsidDel="00000000" w:rsidR="00000000" w:rsidRPr="00000000">
        <w:rPr>
          <w:sz w:val="32"/>
          <w:szCs w:val="32"/>
          <w:rtl w:val="0"/>
        </w:rPr>
        <w:t xml:space="preserve">.</w:t>
      </w:r>
    </w:p>
    <w:p w:rsidR="00000000" w:rsidDel="00000000" w:rsidP="00000000" w:rsidRDefault="00000000" w:rsidRPr="00000000" w14:paraId="000000FC">
      <w:pPr>
        <w:pStyle w:val="Heading3"/>
        <w:keepNext w:val="0"/>
        <w:keepLines w:val="0"/>
        <w:spacing w:before="280" w:lineRule="auto"/>
        <w:rPr/>
      </w:pPr>
      <w:bookmarkStart w:colFirst="0" w:colLast="0" w:name="_cp5yntn5e9iz" w:id="19"/>
      <w:bookmarkEnd w:id="19"/>
      <w:r w:rsidDel="00000000" w:rsidR="00000000" w:rsidRPr="00000000">
        <w:rPr>
          <w:color w:val="000000"/>
          <w:sz w:val="26"/>
          <w:szCs w:val="26"/>
          <w:rtl w:val="0"/>
        </w:rPr>
        <w:t xml:space="preserve">Buenas prácticas aplicadas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FD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Aplicar permisos solo a nivel de tabla específica (dbo.Clientes) para mayor seguridad.</w:t>
        <w:br w:type="textWrapping"/>
      </w:r>
    </w:p>
    <w:p w:rsidR="00000000" w:rsidDel="00000000" w:rsidP="00000000" w:rsidRDefault="00000000" w:rsidRPr="00000000" w14:paraId="000000F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Seguir el principio de menor privilegio para evitar accesos no deseados.</w:t>
        <w:br w:type="textWrapping"/>
      </w:r>
    </w:p>
    <w:p w:rsidR="00000000" w:rsidDel="00000000" w:rsidP="00000000" w:rsidRDefault="00000000" w:rsidRPr="00000000" w14:paraId="000000FF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Revisar permisos con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sp_helprotect</w:t>
      </w:r>
      <w:r w:rsidDel="00000000" w:rsidR="00000000" w:rsidRPr="00000000">
        <w:rPr>
          <w:rtl w:val="0"/>
        </w:rPr>
        <w:t xml:space="preserve"> tras aplicar cambios.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240" w:before="240" w:lineRule="auto"/>
        <w:rPr>
          <w:rFonts w:ascii="Comic Sans MS" w:cs="Comic Sans MS" w:eastAsia="Comic Sans MS" w:hAnsi="Comic Sans MS"/>
          <w:b w:val="1"/>
          <w:bCs w:val="1"/>
          <w:sz w:val="32"/>
          <w:szCs w:val="32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32"/>
          <w:szCs w:val="32"/>
          <w:rtl w:val="0"/>
        </w:rPr>
        <w:t xml:space="preserve">5: Cifrado y protección de datos en QhatuPeru</w:t>
      </w:r>
    </w:p>
    <w:p w:rsidR="00000000" w:rsidDel="00000000" w:rsidP="00000000" w:rsidRDefault="00000000" w:rsidRPr="00000000" w14:paraId="00000101">
      <w:pPr>
        <w:pStyle w:val="Heading3"/>
        <w:keepNext w:val="0"/>
        <w:keepLines w:val="0"/>
        <w:spacing w:before="280" w:lineRule="auto"/>
        <w:rPr>
          <w:rFonts w:ascii="Comic Sans MS" w:cs="Comic Sans MS" w:eastAsia="Comic Sans MS" w:hAnsi="Comic Sans MS"/>
          <w:b w:val="1"/>
          <w:bCs w:val="1"/>
          <w:color w:val="000000"/>
          <w:sz w:val="26"/>
          <w:szCs w:val="26"/>
        </w:rPr>
      </w:pPr>
      <w:bookmarkStart w:colFirst="0" w:colLast="0" w:name="_g912rjsyx8go" w:id="20"/>
      <w:bookmarkEnd w:id="20"/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000000"/>
          <w:sz w:val="26"/>
          <w:szCs w:val="26"/>
          <w:rtl w:val="0"/>
        </w:rPr>
        <w:t xml:space="preserve">Script en T-SQL</w:t>
      </w:r>
    </w:p>
    <w:p w:rsidR="00000000" w:rsidDel="00000000" w:rsidP="00000000" w:rsidRDefault="00000000" w:rsidRPr="00000000" w14:paraId="00000102">
      <w:pPr>
        <w:spacing w:after="240" w:before="24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</w:rPr>
        <w:drawing>
          <wp:inline distB="114300" distT="114300" distL="114300" distR="114300">
            <wp:extent cx="5415989" cy="5757863"/>
            <wp:effectExtent b="0" l="0" r="0" t="0"/>
            <wp:docPr id="8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15989" cy="57578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after="240" w:before="24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</w:rPr>
        <w:drawing>
          <wp:inline distB="114300" distT="114300" distL="114300" distR="114300">
            <wp:extent cx="2871788" cy="474396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71788" cy="4743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cdhdva3nqgb" w:id="21"/>
      <w:bookmarkEnd w:id="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pStyle w:val="Heading3"/>
        <w:keepNext w:val="0"/>
        <w:keepLines w:val="0"/>
        <w:spacing w:before="280" w:lineRule="auto"/>
        <w:rPr>
          <w:rFonts w:ascii="Comic Sans MS" w:cs="Comic Sans MS" w:eastAsia="Comic Sans MS" w:hAnsi="Comic Sans MS"/>
          <w:b w:val="1"/>
          <w:bCs w:val="1"/>
          <w:color w:val="000000"/>
          <w:sz w:val="26"/>
          <w:szCs w:val="26"/>
        </w:rPr>
      </w:pPr>
      <w:bookmarkStart w:colFirst="0" w:colLast="0" w:name="_rsm55qypavrh" w:id="22"/>
      <w:bookmarkEnd w:id="22"/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000000"/>
          <w:sz w:val="26"/>
          <w:szCs w:val="26"/>
          <w:rtl w:val="0"/>
        </w:rPr>
        <w:t xml:space="preserve">Justificación técnica</w:t>
      </w:r>
    </w:p>
    <w:p w:rsidR="00000000" w:rsidDel="00000000" w:rsidP="00000000" w:rsidRDefault="00000000" w:rsidRPr="00000000" w14:paraId="000001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cifrado de datos en SQL Server protege la información sensible tanto en reposo como en tránsito.</w:t>
        <w:br w:type="textWrapping"/>
        <w:t xml:space="preserve"> En este proyecto se aplica una capa de seguridad de tres niveles:</w:t>
      </w:r>
    </w:p>
    <w:p w:rsidR="00000000" w:rsidDel="00000000" w:rsidP="00000000" w:rsidRDefault="00000000" w:rsidRPr="00000000" w14:paraId="0000010B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Master Key → protege los certificados del sistema.</w:t>
        <w:br w:type="textWrapping"/>
      </w:r>
    </w:p>
    <w:p w:rsidR="00000000" w:rsidDel="00000000" w:rsidP="00000000" w:rsidRDefault="00000000" w:rsidRPr="00000000" w14:paraId="0000010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Certificado → asegura las claves de cifrado.</w:t>
        <w:br w:type="textWrapping"/>
      </w:r>
    </w:p>
    <w:p w:rsidR="00000000" w:rsidDel="00000000" w:rsidP="00000000" w:rsidRDefault="00000000" w:rsidRPr="00000000" w14:paraId="0000010D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Clave simétrica (AES_256) → cifra directamente los datos sensibles, como DNIs o contraseñas.</w:t>
        <w:br w:type="textWrapping"/>
      </w:r>
    </w:p>
    <w:p w:rsidR="00000000" w:rsidDel="00000000" w:rsidP="00000000" w:rsidRDefault="00000000" w:rsidRPr="00000000" w14:paraId="000001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 arquitectura garantiza confidencialidad y cumplimiento de políticas de privacidad.</w:t>
      </w:r>
    </w:p>
    <w:p w:rsidR="00000000" w:rsidDel="00000000" w:rsidP="00000000" w:rsidRDefault="00000000" w:rsidRPr="00000000" w14:paraId="0000010F">
      <w:pPr>
        <w:pStyle w:val="Heading3"/>
        <w:keepNext w:val="0"/>
        <w:keepLines w:val="0"/>
        <w:spacing w:before="280" w:lineRule="auto"/>
        <w:rPr>
          <w:rFonts w:ascii="Comic Sans MS" w:cs="Comic Sans MS" w:eastAsia="Comic Sans MS" w:hAnsi="Comic Sans MS"/>
          <w:b w:val="1"/>
          <w:bCs w:val="1"/>
          <w:color w:val="000000"/>
          <w:sz w:val="26"/>
          <w:szCs w:val="26"/>
        </w:rPr>
      </w:pPr>
      <w:bookmarkStart w:colFirst="0" w:colLast="0" w:name="_iv1rehlttsnd" w:id="23"/>
      <w:bookmarkEnd w:id="23"/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000000"/>
          <w:sz w:val="26"/>
          <w:szCs w:val="26"/>
          <w:rtl w:val="0"/>
        </w:rPr>
        <w:t xml:space="preserve">Buenas prácticas aplicadas</w:t>
      </w:r>
    </w:p>
    <w:p w:rsidR="00000000" w:rsidDel="00000000" w:rsidP="00000000" w:rsidRDefault="00000000" w:rsidRPr="00000000" w14:paraId="0000011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Uso del algoritmo AES_256, uno de los estándares más seguros en la industria.</w:t>
        <w:br w:type="textWrapping"/>
      </w:r>
    </w:p>
    <w:p w:rsidR="00000000" w:rsidDel="00000000" w:rsidP="00000000" w:rsidRDefault="00000000" w:rsidRPr="00000000" w14:paraId="0000011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Separación de claves y certificados para una gestión jerárquica y más segura.</w:t>
        <w:br w:type="textWrapping"/>
      </w:r>
    </w:p>
    <w:p w:rsidR="00000000" w:rsidDel="00000000" w:rsidP="00000000" w:rsidRDefault="00000000" w:rsidRPr="00000000" w14:paraId="0000011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Cierre de la clave simétrica tras su uso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CLOSE SYMMETRIC KEY</w:t>
      </w:r>
      <w:r w:rsidDel="00000000" w:rsidR="00000000" w:rsidRPr="00000000">
        <w:rPr>
          <w:rtl w:val="0"/>
        </w:rPr>
        <w:t xml:space="preserve">) para evitar fugas de memoria o accesos no controlados.</w:t>
        <w:br w:type="textWrapping"/>
      </w:r>
    </w:p>
    <w:p w:rsidR="00000000" w:rsidDel="00000000" w:rsidP="00000000" w:rsidRDefault="00000000" w:rsidRPr="00000000" w14:paraId="0000011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Almacenamiento cifrado solo en campos críticos (como DNI), optimizando el rendimiento.</w:t>
        <w:br w:type="textWrapping"/>
      </w:r>
    </w:p>
    <w:p w:rsidR="00000000" w:rsidDel="00000000" w:rsidP="00000000" w:rsidRDefault="00000000" w:rsidRPr="00000000" w14:paraId="0000011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Contraseñas robustas y documentadas en un entorno seguro (no dentro del código de producción).</w:t>
      </w:r>
    </w:p>
    <w:p w:rsidR="00000000" w:rsidDel="00000000" w:rsidP="00000000" w:rsidRDefault="00000000" w:rsidRPr="00000000" w14:paraId="00000115">
      <w:pPr>
        <w:spacing w:after="240" w:before="24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after="240" w:before="24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pacing w:after="240" w:before="24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pacing w:after="240" w:before="24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after="240" w:before="24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pacing w:after="240" w:before="24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pacing w:after="240" w:before="24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after="240" w:before="24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pacing w:after="240" w:before="240" w:lineRule="auto"/>
        <w:rPr>
          <w:rFonts w:ascii="Comic Sans MS" w:cs="Comic Sans MS" w:eastAsia="Comic Sans MS" w:hAnsi="Comic Sans MS"/>
          <w:b w:val="1"/>
          <w:bCs w:val="1"/>
          <w:sz w:val="32"/>
          <w:szCs w:val="32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32"/>
          <w:szCs w:val="32"/>
          <w:rtl w:val="0"/>
        </w:rPr>
        <w:t xml:space="preserve">6: Auditoría y Monitoreo de Eventos en QhatuPeru</w:t>
      </w:r>
    </w:p>
    <w:p w:rsidR="00000000" w:rsidDel="00000000" w:rsidP="00000000" w:rsidRDefault="00000000" w:rsidRPr="00000000" w14:paraId="0000011E">
      <w:pPr>
        <w:spacing w:after="240" w:before="24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6"/>
          <w:szCs w:val="26"/>
          <w:rtl w:val="0"/>
        </w:rPr>
        <w:t xml:space="preserve">Script en T-SQL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4057650" cy="1862138"/>
            <wp:effectExtent b="0" l="0" r="0" t="0"/>
            <wp:docPr id="6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57650" cy="18621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1000125" cy="257175"/>
            <wp:effectExtent b="0" l="0" r="0" t="0"/>
            <wp:docPr id="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00125" cy="257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1270000"/>
            <wp:effectExtent b="0" l="0" r="0" t="0"/>
            <wp:docPr id="1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7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pacing w:after="240" w:before="240" w:lineRule="auto"/>
        <w:rPr>
          <w:rFonts w:ascii="Comic Sans MS" w:cs="Comic Sans MS" w:eastAsia="Comic Sans MS" w:hAnsi="Comic Sans MS"/>
          <w:b w:val="1"/>
          <w:bCs w:val="1"/>
          <w:sz w:val="26"/>
          <w:szCs w:val="26"/>
        </w:rPr>
      </w:pPr>
      <w:r w:rsidDel="00000000" w:rsidR="00000000" w:rsidRPr="00000000">
        <w:rPr/>
        <w:drawing>
          <wp:inline distB="114300" distT="114300" distL="114300" distR="114300">
            <wp:extent cx="5731200" cy="266700"/>
            <wp:effectExtent b="0" l="0" r="0" t="0"/>
            <wp:docPr id="1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6"/>
          <w:szCs w:val="26"/>
          <w:rtl w:val="0"/>
        </w:rPr>
        <w:t xml:space="preserve">Justificación técnica</w:t>
      </w:r>
    </w:p>
    <w:p w:rsidR="00000000" w:rsidDel="00000000" w:rsidP="00000000" w:rsidRDefault="00000000" w:rsidRPr="00000000" w14:paraId="000001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auditoría permite registrar y supervisar las acciones realizadas sobre las tablas críticas del sistema.</w:t>
        <w:br w:type="textWrapping"/>
        <w:t xml:space="preserve"> Se utiliza un </w:t>
      </w:r>
      <w:r w:rsidDel="00000000" w:rsidR="00000000" w:rsidRPr="00000000">
        <w:rPr>
          <w:b w:val="1"/>
          <w:bCs w:val="1"/>
          <w:rtl w:val="0"/>
        </w:rPr>
        <w:t xml:space="preserve">SERVER AUDIT</w:t>
      </w:r>
      <w:r w:rsidDel="00000000" w:rsidR="00000000" w:rsidRPr="00000000">
        <w:rPr>
          <w:rtl w:val="0"/>
        </w:rPr>
        <w:t xml:space="preserve"> para definir el destino de los registros y una </w:t>
      </w:r>
      <w:r w:rsidDel="00000000" w:rsidR="00000000" w:rsidRPr="00000000">
        <w:rPr>
          <w:b w:val="1"/>
          <w:bCs w:val="1"/>
          <w:rtl w:val="0"/>
        </w:rPr>
        <w:t xml:space="preserve">DATABASE AUDIT SPECIFICATION</w:t>
      </w:r>
      <w:r w:rsidDel="00000000" w:rsidR="00000000" w:rsidRPr="00000000">
        <w:rPr>
          <w:rtl w:val="0"/>
        </w:rPr>
        <w:t xml:space="preserve"> para registrar operaciones específicas como SELECT, INSERT, UPDATE y DELETE.</w:t>
      </w:r>
    </w:p>
    <w:p w:rsidR="00000000" w:rsidDel="00000000" w:rsidP="00000000" w:rsidRDefault="00000000" w:rsidRPr="00000000" w14:paraId="00000123">
      <w:pPr>
        <w:pStyle w:val="Heading3"/>
        <w:keepNext w:val="0"/>
        <w:keepLines w:val="0"/>
        <w:spacing w:before="280" w:lineRule="auto"/>
        <w:rPr>
          <w:rFonts w:ascii="Comic Sans MS" w:cs="Comic Sans MS" w:eastAsia="Comic Sans MS" w:hAnsi="Comic Sans MS"/>
          <w:b w:val="1"/>
          <w:bCs w:val="1"/>
          <w:color w:val="000000"/>
          <w:sz w:val="26"/>
          <w:szCs w:val="26"/>
        </w:rPr>
      </w:pPr>
      <w:bookmarkStart w:colFirst="0" w:colLast="0" w:name="_u8j1li85aajq" w:id="24"/>
      <w:bookmarkEnd w:id="24"/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000000"/>
          <w:sz w:val="26"/>
          <w:szCs w:val="26"/>
          <w:rtl w:val="0"/>
        </w:rPr>
        <w:t xml:space="preserve">Buenas prácticas aplicadas</w:t>
      </w:r>
    </w:p>
    <w:p w:rsidR="00000000" w:rsidDel="00000000" w:rsidP="00000000" w:rsidRDefault="00000000" w:rsidRPr="00000000" w14:paraId="0000012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Auditoría activada solo para tablas sensibles (Clientes y Pedidos).</w:t>
        <w:br w:type="textWrapping"/>
      </w:r>
    </w:p>
    <w:p w:rsidR="00000000" w:rsidDel="00000000" w:rsidP="00000000" w:rsidRDefault="00000000" w:rsidRPr="00000000" w14:paraId="0000012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Archivos de auditoría guardados en una carpeta protegida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C:\AuditoriaSQL\</w:t>
      </w:r>
      <w:r w:rsidDel="00000000" w:rsidR="00000000" w:rsidRPr="00000000">
        <w:rPr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126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Uso de procedimientos nativos de SQL Server para garantizar compatibilidad y seguridad.</w:t>
        <w:br w:type="textWrapping"/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Times New Roman"/>
  <w:font w:name="Comic Sans MS"/>
  <w:font w:name="Arial Unicode MS"/>
  <w:font w:name="Smooch Sans">
    <w:embedRegular w:fontKey="{00000000-0000-0000-0000-000000000000}" r:id="rId1" w:subsetted="0"/>
    <w:embedBold w:fontKey="{00000000-0000-0000-0000-000000000000}" r:id="rId2" w:subsetted="0"/>
  </w:font>
  <w:font w:name="Roboto Mon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20.png"/><Relationship Id="rId22" Type="http://schemas.openxmlformats.org/officeDocument/2006/relationships/image" Target="media/image10.png"/><Relationship Id="rId21" Type="http://schemas.openxmlformats.org/officeDocument/2006/relationships/image" Target="media/image2.png"/><Relationship Id="rId24" Type="http://schemas.openxmlformats.org/officeDocument/2006/relationships/image" Target="media/image1.png"/><Relationship Id="rId23" Type="http://schemas.openxmlformats.org/officeDocument/2006/relationships/image" Target="media/image1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9.png"/><Relationship Id="rId25" Type="http://schemas.openxmlformats.org/officeDocument/2006/relationships/image" Target="media/image7.png"/><Relationship Id="rId5" Type="http://schemas.openxmlformats.org/officeDocument/2006/relationships/styles" Target="styles.xml"/><Relationship Id="rId6" Type="http://schemas.openxmlformats.org/officeDocument/2006/relationships/image" Target="media/image15.png"/><Relationship Id="rId7" Type="http://schemas.openxmlformats.org/officeDocument/2006/relationships/image" Target="media/image5.png"/><Relationship Id="rId8" Type="http://schemas.openxmlformats.org/officeDocument/2006/relationships/image" Target="media/image8.png"/><Relationship Id="rId11" Type="http://schemas.openxmlformats.org/officeDocument/2006/relationships/image" Target="media/image12.png"/><Relationship Id="rId10" Type="http://schemas.openxmlformats.org/officeDocument/2006/relationships/image" Target="media/image11.png"/><Relationship Id="rId13" Type="http://schemas.openxmlformats.org/officeDocument/2006/relationships/image" Target="media/image4.png"/><Relationship Id="rId12" Type="http://schemas.openxmlformats.org/officeDocument/2006/relationships/image" Target="media/image3.png"/><Relationship Id="rId15" Type="http://schemas.openxmlformats.org/officeDocument/2006/relationships/image" Target="media/image16.png"/><Relationship Id="rId14" Type="http://schemas.openxmlformats.org/officeDocument/2006/relationships/image" Target="media/image13.png"/><Relationship Id="rId17" Type="http://schemas.openxmlformats.org/officeDocument/2006/relationships/image" Target="media/image9.png"/><Relationship Id="rId16" Type="http://schemas.openxmlformats.org/officeDocument/2006/relationships/image" Target="media/image17.png"/><Relationship Id="rId19" Type="http://schemas.openxmlformats.org/officeDocument/2006/relationships/image" Target="media/image6.png"/><Relationship Id="rId18" Type="http://schemas.openxmlformats.org/officeDocument/2006/relationships/image" Target="media/image18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SmoochSans-regular.ttf"/><Relationship Id="rId2" Type="http://schemas.openxmlformats.org/officeDocument/2006/relationships/font" Target="fonts/SmoochSans-bold.ttf"/><Relationship Id="rId3" Type="http://schemas.openxmlformats.org/officeDocument/2006/relationships/font" Target="fonts/RobotoMono-regular.ttf"/><Relationship Id="rId4" Type="http://schemas.openxmlformats.org/officeDocument/2006/relationships/font" Target="fonts/RobotoMono-bold.ttf"/><Relationship Id="rId5" Type="http://schemas.openxmlformats.org/officeDocument/2006/relationships/font" Target="fonts/RobotoMono-italic.ttf"/><Relationship Id="rId6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