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A237E" w:color="auto" w:val="clear"/>
            <w:tcMar>
              <w:top w:type="dxa" w:w="420"/>
              <w:left w:type="dxa" w:w="320"/>
              <w:bottom w:type="dxa" w:w="420"/>
              <w:right w:type="dxa" w:w="320"/>
            </w:tcMar>
          </w:tcPr>
          <w:p>
            <w:pPr>
              <w:spacing w:after="60"/>
            </w:pPr>
            <w:r>
              <w:rPr>
                <w:rFonts w:ascii="Calibri" w:cs="Calibri" w:eastAsia="Calibri" w:hAnsi="Calibri"/>
                <w:b/>
                <w:bCs/>
                <w:caps/>
                <w:color w:val="4285F4"/>
                <w:sz w:val="22"/>
                <w:szCs w:val="22"/>
              </w:rPr>
              <w:t xml:space="preserve">Cloud Cost Optimization Proposal</w:t>
            </w:r>
          </w:p>
          <w:p>
            <w:pPr>
              <w:spacing w:after="0" w:line="300"/>
            </w:pPr>
            <w:r>
              <w:rPr>
                <w:rFonts w:ascii="Calibri" w:cs="Calibri" w:eastAsia="Calibri" w:hAnsi="Calibri"/>
                <w:b/>
                <w:bCs/>
                <w:color w:val="FFFFFF"/>
                <w:sz w:val="44"/>
                <w:szCs w:val="44"/>
              </w:rPr>
              <w:t xml:space="preserve">Zero-Cost GCP Resource Inventory</w:t>
            </w:r>
          </w:p>
        </w:tc>
      </w:tr>
    </w:tbl>
    <w:p>
      <w:pPr>
        <w:spacing w:after="200"/>
      </w:pPr>
    </w:p>
    <w:p>
      <w:pPr>
        <w:spacing w:after="300" w:line="300"/>
      </w:pPr>
      <w:r>
        <w:rPr>
          <w:rFonts w:ascii="Calibri" w:cs="Calibri" w:eastAsia="Calibri" w:hAnsi="Calibri"/>
          <w:i/>
          <w:iCs/>
          <w:color w:val="6B7280"/>
          <w:sz w:val="26"/>
          <w:szCs w:val="26"/>
        </w:rPr>
        <w:t xml:space="preserve">A cost-neutral alternative to Cloud Asset Inventory and Security Command Center Premium</w:t>
      </w:r>
    </w:p>
    <w:p>
      <w:pPr>
        <w:spacing w:after="2600"/>
      </w:pPr>
    </w:p>
    <w:p>
      <w:pPr>
        <w:pBdr>
          <w:top w:val="single" w:color="1A73E8" w:sz="10"/>
        </w:pBdr>
        <w:spacing w:after="120" w:before="40"/>
      </w:pPr>
    </w:p>
    <w:p>
      <w:pPr>
        <w:tabs>
          <w:tab w:val="left" w:pos="2200"/>
        </w:tabs>
        <w:spacing w:after="70"/>
      </w:pPr>
      <w:r>
        <w:rPr>
          <w:rFonts w:ascii="Calibri" w:cs="Calibri" w:eastAsia="Calibri" w:hAnsi="Calibri"/>
          <w:b/>
          <w:bCs/>
          <w:color w:val="1A73E8"/>
          <w:sz w:val="18"/>
          <w:szCs w:val="18"/>
        </w:rPr>
        <w:t xml:space="preserve">PREPARED FOR</w:t>
      </w:r>
      <w:r>
        <w:rPr>
          <w:rFonts w:ascii="Calibri" w:cs="Calibri" w:eastAsia="Calibri" w:hAnsi="Calibri"/>
          <w:sz w:val="20"/>
          <w:szCs w:val="20"/>
        </w:rPr>
        <w:t xml:space="preserve">	</w:t>
      </w:r>
      <w:r>
        <w:rPr>
          <w:rFonts w:ascii="Calibri" w:cs="Calibri" w:eastAsia="Calibri" w:hAnsi="Calibri"/>
          <w:color w:val="1F2933"/>
          <w:sz w:val="21"/>
          <w:szCs w:val="21"/>
        </w:rPr>
        <w:t xml:space="preserve">Cloud Platform Leadership &amp; Finance</w:t>
      </w:r>
    </w:p>
    <w:p>
      <w:pPr>
        <w:tabs>
          <w:tab w:val="left" w:pos="2200"/>
        </w:tabs>
        <w:spacing w:after="70"/>
      </w:pPr>
      <w:r>
        <w:rPr>
          <w:rFonts w:ascii="Calibri" w:cs="Calibri" w:eastAsia="Calibri" w:hAnsi="Calibri"/>
          <w:b/>
          <w:bCs/>
          <w:color w:val="1A73E8"/>
          <w:sz w:val="18"/>
          <w:szCs w:val="18"/>
        </w:rPr>
        <w:t xml:space="preserve">PREPARED BY</w:t>
      </w:r>
      <w:r>
        <w:rPr>
          <w:rFonts w:ascii="Calibri" w:cs="Calibri" w:eastAsia="Calibri" w:hAnsi="Calibri"/>
          <w:sz w:val="20"/>
          <w:szCs w:val="20"/>
        </w:rPr>
        <w:t xml:space="preserve">	</w:t>
      </w:r>
      <w:r>
        <w:rPr>
          <w:rFonts w:ascii="Calibri" w:cs="Calibri" w:eastAsia="Calibri" w:hAnsi="Calibri"/>
          <w:color w:val="1F2933"/>
          <w:sz w:val="21"/>
          <w:szCs w:val="21"/>
        </w:rPr>
        <w:t xml:space="preserve">DevOps Engineering Team</w:t>
      </w:r>
    </w:p>
    <w:p>
      <w:pPr>
        <w:tabs>
          <w:tab w:val="left" w:pos="2200"/>
        </w:tabs>
        <w:spacing w:after="70"/>
      </w:pPr>
      <w:r>
        <w:rPr>
          <w:rFonts w:ascii="Calibri" w:cs="Calibri" w:eastAsia="Calibri" w:hAnsi="Calibri"/>
          <w:b/>
          <w:bCs/>
          <w:color w:val="1A73E8"/>
          <w:sz w:val="18"/>
          <w:szCs w:val="18"/>
        </w:rPr>
        <w:t xml:space="preserve">DATE</w:t>
      </w:r>
      <w:r>
        <w:rPr>
          <w:rFonts w:ascii="Calibri" w:cs="Calibri" w:eastAsia="Calibri" w:hAnsi="Calibri"/>
          <w:sz w:val="20"/>
          <w:szCs w:val="20"/>
        </w:rPr>
        <w:t xml:space="preserve">	</w:t>
      </w:r>
      <w:r>
        <w:rPr>
          <w:rFonts w:ascii="Calibri" w:cs="Calibri" w:eastAsia="Calibri" w:hAnsi="Calibri"/>
          <w:color w:val="1F2933"/>
          <w:sz w:val="21"/>
          <w:szCs w:val="21"/>
        </w:rPr>
        <w:t xml:space="preserve">July 2026</w:t>
      </w:r>
    </w:p>
    <w:p>
      <w:pPr>
        <w:tabs>
          <w:tab w:val="left" w:pos="2200"/>
        </w:tabs>
        <w:spacing w:after="70"/>
      </w:pPr>
      <w:r>
        <w:rPr>
          <w:rFonts w:ascii="Calibri" w:cs="Calibri" w:eastAsia="Calibri" w:hAnsi="Calibri"/>
          <w:b/>
          <w:bCs/>
          <w:color w:val="1A73E8"/>
          <w:sz w:val="18"/>
          <w:szCs w:val="18"/>
        </w:rPr>
        <w:t xml:space="preserve">VERSION</w:t>
      </w:r>
      <w:r>
        <w:rPr>
          <w:rFonts w:ascii="Calibri" w:cs="Calibri" w:eastAsia="Calibri" w:hAnsi="Calibri"/>
          <w:sz w:val="20"/>
          <w:szCs w:val="20"/>
        </w:rPr>
        <w:t xml:space="preserve">	</w:t>
      </w:r>
      <w:r>
        <w:rPr>
          <w:rFonts w:ascii="Calibri" w:cs="Calibri" w:eastAsia="Calibri" w:hAnsi="Calibri"/>
          <w:color w:val="1F2933"/>
          <w:sz w:val="21"/>
          <w:szCs w:val="21"/>
        </w:rPr>
        <w:t xml:space="preserve">1.0</w:t>
      </w:r>
    </w:p>
    <w:p>
      <w:pPr>
        <w:tabs>
          <w:tab w:val="left" w:pos="2200"/>
        </w:tabs>
        <w:spacing w:after="70"/>
      </w:pPr>
      <w:r>
        <w:rPr>
          <w:rFonts w:ascii="Calibri" w:cs="Calibri" w:eastAsia="Calibri" w:hAnsi="Calibri"/>
          <w:b/>
          <w:bCs/>
          <w:color w:val="1A73E8"/>
          <w:sz w:val="18"/>
          <w:szCs w:val="18"/>
        </w:rPr>
        <w:t xml:space="preserve">CLASSIFICATION</w:t>
      </w:r>
      <w:r>
        <w:rPr>
          <w:rFonts w:ascii="Calibri" w:cs="Calibri" w:eastAsia="Calibri" w:hAnsi="Calibri"/>
          <w:sz w:val="20"/>
          <w:szCs w:val="20"/>
        </w:rPr>
        <w:t xml:space="preserve">	</w:t>
      </w:r>
      <w:r>
        <w:rPr>
          <w:rFonts w:ascii="Calibri" w:cs="Calibri" w:eastAsia="Calibri" w:hAnsi="Calibri"/>
          <w:color w:val="1F2933"/>
          <w:sz w:val="21"/>
          <w:szCs w:val="21"/>
        </w:rPr>
        <w:t xml:space="preserve">Internal — Cost Optimization &amp; Cloud Governance</w:t>
      </w:r>
    </w:p>
    <w:p>
      <w:r>
        <w:br w:type="page"/>
      </w:r>
    </w:p>
    <w:p>
      <w:pPr>
        <w:pStyle w:val="Heading1"/>
        <w:keepNext/>
        <w:pBdr>
          <w:bottom w:val="single" w:color="1A73E8" w:sz="10"/>
        </w:pBdr>
        <w:spacing w:after="120" w:before="320"/>
      </w:pPr>
      <w:r>
        <w:rPr>
          <w:rFonts w:ascii="Calibri" w:cs="Calibri" w:eastAsia="Calibri" w:hAnsi="Calibri"/>
          <w:b/>
          <w:bCs/>
          <w:color w:val="1A237E"/>
          <w:sz w:val="30"/>
          <w:szCs w:val="30"/>
        </w:rPr>
        <w:t xml:space="preserve">Executive Summary</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The organization needs a dependable view of which Google Cloud services are in use within a project, and in which regions, to support cost governance, security posture, and audit readiness. The managed routes to that visibility — Cloud Asset Inventory feeds and Security Command Center Premium — introduce recurring, asset-scaled costs, and Security Command Center Premium in particular is priced per asset and can become a significant line item.</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This proposal recommends adopting gcp_inventory_scan.sh: a lightweight, read-only scanning tool the DevOps team already maintains. It relies only on standard gcloud calls and enabled-API listing, all covered by ordinary read-only (Viewer) permissions, and produces a polished, self-contained HTML dashboard. Critically, it requires no Cloud Asset Inventory permissions and enables no premium tier, so it adds no incremental cloud spend.</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In short, we can obtain the inventory visibility we need today, on demand, at essentially zero marginal cost.</w:t>
      </w:r>
    </w:p>
    <w:p>
      <w:pPr>
        <w:spacing w:after="60"/>
      </w:pPr>
    </w:p>
    <w:tbl>
      <w:tblPr>
        <w:tblW w:type="dxa" w:w="9360"/>
        <w:tblBorders>
          <w:top w:val="single" w:color="1A73E8" w:sz="4"/>
          <w:left w:val="single" w:color="1A73E8" w:sz="24"/>
          <w:bottom w:val="single" w:color="1A73E8" w:sz="4"/>
          <w:right w:val="single" w:color="1A73E8" w:sz="4"/>
          <w:insideH w:val="none" w:color="FFFFFF" w:sz="0"/>
          <w:insideV w:val="none" w:color="FFFFFF" w:sz="0"/>
        </w:tblBorders>
      </w:tblPr>
      <w:tblGrid>
        <w:gridCol w:w="9360"/>
      </w:tblGrid>
      <w:tr>
        <w:tc>
          <w:tcPr>
            <w:tcW w:type="dxa" w:w="9360"/>
            <w:shd w:fill="E3ECFD" w:color="auto" w:val="clear"/>
            <w:tcMar>
              <w:top w:type="dxa" w:w="140"/>
              <w:left w:type="dxa" w:w="200"/>
              <w:bottom w:type="dxa" w:w="140"/>
              <w:right w:type="dxa" w:w="200"/>
            </w:tcMar>
          </w:tcPr>
          <w:p>
            <w:pPr>
              <w:spacing w:after="60"/>
            </w:pPr>
            <w:r>
              <w:rPr>
                <w:rFonts w:ascii="Calibri" w:cs="Calibri" w:eastAsia="Calibri" w:hAnsi="Calibri"/>
                <w:b/>
                <w:bCs/>
                <w:caps/>
                <w:color w:val="1A237E"/>
                <w:sz w:val="22"/>
                <w:szCs w:val="22"/>
              </w:rPr>
              <w:t xml:space="preserve">Bottom line</w:t>
            </w:r>
          </w:p>
          <w:p>
            <w:pPr>
              <w:spacing w:after="60" w:line="276"/>
            </w:pPr>
            <w:r>
              <w:rPr>
                <w:rFonts w:ascii="Calibri" w:cs="Calibri" w:eastAsia="Calibri" w:hAnsi="Calibri"/>
                <w:color w:val="1F2933"/>
                <w:sz w:val="21"/>
                <w:szCs w:val="21"/>
              </w:rPr>
              <w:t xml:space="preserve">We get deep, multi-region inventory visibility with no premium-tier or asset-scaled charges,</w:t>
            </w:r>
          </w:p>
          <w:p>
            <w:pPr>
              <w:spacing w:after="0" w:line="276"/>
            </w:pPr>
            <w:r>
              <w:rPr>
                <w:rFonts w:ascii="Calibri" w:cs="Calibri" w:eastAsia="Calibri" w:hAnsi="Calibri"/>
                <w:color w:val="1F2933"/>
                <w:sz w:val="21"/>
                <w:szCs w:val="21"/>
              </w:rPr>
              <w:t xml:space="preserve">using Viewer permissions we already grant, and a report we can run anytime — in a terminal or in CI.</w:t>
            </w:r>
          </w:p>
        </w:tc>
      </w:tr>
    </w:tbl>
    <w:p>
      <w:pPr>
        <w:spacing w:after="80"/>
      </w:pPr>
    </w:p>
    <w:p>
      <w:pPr>
        <w:pStyle w:val="Heading1"/>
        <w:keepNext/>
        <w:pBdr>
          <w:bottom w:val="single" w:color="1A73E8" w:sz="10"/>
        </w:pBdr>
        <w:spacing w:after="120" w:before="320"/>
      </w:pPr>
      <w:r>
        <w:rPr>
          <w:rFonts w:ascii="Calibri" w:cs="Calibri" w:eastAsia="Calibri" w:hAnsi="Calibri"/>
          <w:b/>
          <w:bCs/>
          <w:color w:val="1A237E"/>
          <w:sz w:val="30"/>
          <w:szCs w:val="30"/>
        </w:rPr>
        <w:t xml:space="preserve">1. The Business Need</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Multiple teams need a trustworthy answer to a simple question: what are we actually running in this project, and where? That single view underpins several recurring business activities:</w:t>
      </w:r>
    </w:p>
    <w:p>
      <w:pPr>
        <w:pStyle w:val="ListParagraph"/>
        <w:numPr>
          <w:ilvl w:val="0"/>
          <w:numId w:val="2"/>
        </w:numPr>
        <w:spacing w:after="80" w:line="276"/>
      </w:pPr>
      <w:r>
        <w:rPr>
          <w:rFonts w:ascii="Calibri" w:cs="Calibri" w:eastAsia="Calibri" w:hAnsi="Calibri"/>
          <w:color w:val="1F2933"/>
          <w:sz w:val="21"/>
          <w:szCs w:val="21"/>
        </w:rPr>
        <w:t xml:space="preserve">Cost governance — surfacing active services, idle footprints, and unexpected regional sprawl.</w:t>
      </w:r>
    </w:p>
    <w:p>
      <w:pPr>
        <w:pStyle w:val="ListParagraph"/>
        <w:numPr>
          <w:ilvl w:val="0"/>
          <w:numId w:val="2"/>
        </w:numPr>
        <w:spacing w:after="80" w:line="276"/>
      </w:pPr>
      <w:r>
        <w:rPr>
          <w:rFonts w:ascii="Calibri" w:cs="Calibri" w:eastAsia="Calibri" w:hAnsi="Calibri"/>
          <w:color w:val="1F2933"/>
          <w:sz w:val="21"/>
          <w:szCs w:val="21"/>
        </w:rPr>
        <w:t xml:space="preserve">Security &amp; audit — evidencing which services hold resources and where those regions are.</w:t>
      </w:r>
    </w:p>
    <w:p>
      <w:pPr>
        <w:pStyle w:val="ListParagraph"/>
        <w:numPr>
          <w:ilvl w:val="0"/>
          <w:numId w:val="2"/>
        </w:numPr>
        <w:spacing w:after="80" w:line="276"/>
      </w:pPr>
      <w:r>
        <w:rPr>
          <w:rFonts w:ascii="Calibri" w:cs="Calibri" w:eastAsia="Calibri" w:hAnsi="Calibri"/>
          <w:color w:val="1F2933"/>
          <w:sz w:val="21"/>
          <w:szCs w:val="21"/>
        </w:rPr>
        <w:t xml:space="preserve">Cloud housekeeping — finding orphaned or forgotten resources that quietly accrue charges.</w:t>
      </w:r>
    </w:p>
    <w:p>
      <w:pPr>
        <w:pStyle w:val="ListParagraph"/>
        <w:numPr>
          <w:ilvl w:val="0"/>
          <w:numId w:val="2"/>
        </w:numPr>
        <w:spacing w:after="80" w:line="276"/>
      </w:pPr>
      <w:r>
        <w:rPr>
          <w:rFonts w:ascii="Calibri" w:cs="Calibri" w:eastAsia="Calibri" w:hAnsi="Calibri"/>
          <w:color w:val="1F2933"/>
          <w:sz w:val="21"/>
          <w:szCs w:val="21"/>
        </w:rPr>
        <w:t xml:space="preserve">Onboarding &amp; handover — giving new engineers and leadership a fast, readable map of the project.</w:t>
      </w:r>
    </w:p>
    <w:p>
      <w:pPr>
        <w:pStyle w:val="Heading1"/>
        <w:keepNext/>
        <w:pBdr>
          <w:bottom w:val="single" w:color="1A73E8" w:sz="10"/>
        </w:pBdr>
        <w:spacing w:after="120" w:before="320"/>
      </w:pPr>
      <w:r>
        <w:rPr>
          <w:rFonts w:ascii="Calibri" w:cs="Calibri" w:eastAsia="Calibri" w:hAnsi="Calibri"/>
          <w:b/>
          <w:bCs/>
          <w:color w:val="1A237E"/>
          <w:sz w:val="30"/>
          <w:szCs w:val="30"/>
        </w:rPr>
        <w:t xml:space="preserve">2. The Cost of the Native Approach</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The managed path to this visibility carries recurring, usage-based charges. The table below summarizes the main cost drivers we would take on. Figures are directional; actual amounts depend on the number of assets, feeds, and regions in scope.</w:t>
      </w:r>
    </w:p>
    <w:p>
      <w:pPr>
        <w:spacing w:after="40"/>
      </w:pPr>
    </w:p>
    <w:tbl>
      <w:tblPr>
        <w:tblW w:type="dxa" w:w="9360"/>
        <w:tblBorders>
          <w:top w:val="single" w:color="D9DEE4" w:sz="4"/>
          <w:left w:val="single" w:color="D9DEE4" w:sz="4"/>
          <w:bottom w:val="single" w:color="D9DEE4" w:sz="4"/>
          <w:right w:val="single" w:color="D9DEE4" w:sz="4"/>
          <w:insideH w:val="single" w:color="D9DEE4" w:sz="4"/>
          <w:insideV w:val="single" w:color="D9DEE4" w:sz="4"/>
        </w:tblBorders>
      </w:tblPr>
      <w:tblGrid>
        <w:gridCol w:w="3100"/>
        <w:gridCol w:w="3960"/>
        <w:gridCol w:w="2300"/>
      </w:tblGrid>
      <w:tr>
        <w:trPr>
          <w:tblHeader/>
        </w:trPr>
        <w:tc>
          <w:tcPr>
            <w:tcW w:type="dxa" w:w="3100"/>
            <w:tcBorders>
              <w:top w:val="single" w:color="1A237E" w:sz="4"/>
              <w:left w:val="single" w:color="1A237E" w:sz="4"/>
              <w:bottom w:val="single" w:color="1A237E" w:sz="4"/>
              <w:right w:val="single" w:color="1A237E" w:sz="4"/>
            </w:tcBorders>
            <w:shd w:fill="1A237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Native service / tool</w:t>
            </w:r>
          </w:p>
        </w:tc>
        <w:tc>
          <w:tcPr>
            <w:tcW w:type="dxa" w:w="3960"/>
            <w:tcBorders>
              <w:top w:val="single" w:color="1A237E" w:sz="4"/>
              <w:left w:val="single" w:color="1A237E" w:sz="4"/>
              <w:bottom w:val="single" w:color="1A237E" w:sz="4"/>
              <w:right w:val="single" w:color="1A237E" w:sz="4"/>
            </w:tcBorders>
            <w:shd w:fill="1A237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How it bills</w:t>
            </w:r>
          </w:p>
        </w:tc>
        <w:tc>
          <w:tcPr>
            <w:tcW w:type="dxa" w:w="2300"/>
            <w:tcBorders>
              <w:top w:val="single" w:color="1A237E" w:sz="4"/>
              <w:left w:val="single" w:color="1A237E" w:sz="4"/>
              <w:bottom w:val="single" w:color="1A237E" w:sz="4"/>
              <w:right w:val="single" w:color="1A237E" w:sz="4"/>
            </w:tcBorders>
            <w:shd w:fill="1A237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Cost pressure</w:t>
            </w:r>
          </w:p>
        </w:tc>
      </w:tr>
      <w:tr>
        <w:tc>
          <w:tcPr>
            <w:tcW w:type="dxa" w:w="31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Security Command Center Premium</w:t>
            </w:r>
          </w:p>
        </w:tc>
        <w:tc>
          <w:tcPr>
            <w:tcW w:type="dxa" w:w="39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Priced per asset / based on consumption of protected resources.</w:t>
            </w:r>
          </w:p>
        </w:tc>
        <w:tc>
          <w:tcPr>
            <w:tcW w:type="dxa" w:w="2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Scales with the estate — a material recurring line item.</w:t>
            </w:r>
          </w:p>
        </w:tc>
      </w:tr>
      <w:tr>
        <w:tc>
          <w:tcPr>
            <w:tcW w:type="dxa" w:w="31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Cloud Asset Inventory feeds/exports</w:t>
            </w:r>
          </w:p>
        </w:tc>
        <w:tc>
          <w:tcPr>
            <w:tcW w:type="dxa" w:w="39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Charges apply to real-time feeds and continuous exports at scale.</w:t>
            </w:r>
          </w:p>
        </w:tc>
        <w:tc>
          <w:tcPr>
            <w:tcW w:type="dxa" w:w="2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Grows with asset count and change rate.</w:t>
            </w:r>
          </w:p>
        </w:tc>
      </w:tr>
      <w:tr>
        <w:tc>
          <w:tcPr>
            <w:tcW w:type="dxa" w:w="31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BigQuery / storage for asset exports</w:t>
            </w:r>
          </w:p>
        </w:tc>
        <w:tc>
          <w:tcPr>
            <w:tcW w:type="dxa" w:w="39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Per-GB storage and query on exported asset data.</w:t>
            </w:r>
          </w:p>
        </w:tc>
        <w:tc>
          <w:tcPr>
            <w:tcW w:type="dxa" w:w="2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Ongoing storage + query spend.</w:t>
            </w:r>
          </w:p>
        </w:tc>
      </w:tr>
      <w:tr>
        <w:tc>
          <w:tcPr>
            <w:tcW w:type="dxa" w:w="31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Third-party CSPM / CMDB</w:t>
            </w:r>
          </w:p>
        </w:tc>
        <w:tc>
          <w:tcPr>
            <w:tcW w:type="dxa" w:w="39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Per-asset or per-seat licensing.</w:t>
            </w:r>
          </w:p>
        </w:tc>
        <w:tc>
          <w:tcPr>
            <w:tcW w:type="dxa" w:w="2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Annual license commitment.</w:t>
            </w:r>
          </w:p>
        </w:tc>
      </w:tr>
    </w:tbl>
    <w:p>
      <w:pPr>
        <w:spacing w:after="40"/>
      </w:pPr>
    </w:p>
    <w:p>
      <w:pPr>
        <w:spacing w:after="140" w:before="0" w:line="276"/>
        <w:jc w:val="left"/>
      </w:pPr>
      <w:r>
        <w:rPr>
          <w:rFonts w:ascii="Calibri" w:cs="Calibri" w:eastAsia="Calibri" w:hAnsi="Calibri"/>
          <w:b w:val="false"/>
          <w:bCs w:val="false"/>
          <w:i/>
          <w:iCs/>
          <w:caps w:val="false"/>
          <w:color w:val="6B7280"/>
          <w:sz w:val="18"/>
          <w:szCs w:val="18"/>
        </w:rPr>
        <w:t xml:space="preserve">Note: some Cloud Asset Inventory API calls are low- or no-cost individually, but standing up a continuous, monitored inventory posture (feeds, exports, or Security Command Center Premium) is where recurring charges accumulate — and that is exactly what this proposal avoids.</w:t>
      </w:r>
    </w:p>
    <w:p>
      <w:pPr>
        <w:pStyle w:val="Heading1"/>
        <w:keepNext/>
        <w:pBdr>
          <w:bottom w:val="single" w:color="1A73E8" w:sz="10"/>
        </w:pBdr>
        <w:spacing w:after="120" w:before="320"/>
      </w:pPr>
      <w:r>
        <w:rPr>
          <w:rFonts w:ascii="Calibri" w:cs="Calibri" w:eastAsia="Calibri" w:hAnsi="Calibri"/>
          <w:b/>
          <w:bCs/>
          <w:color w:val="1A237E"/>
          <w:sz w:val="30"/>
          <w:szCs w:val="30"/>
        </w:rPr>
        <w:t xml:space="preserve">3. The Proposed Alternative</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gcp_inventory_scan.sh performs a deep, read-only inventory of the current gcloud project without using Cloud Asset Inventory (no cloudasset.assets.* permissions required). It resolves the active project, lists enabled APIs, and runs targeted gcloud checks to confirm whether high-value services actually have resources deployed. It records the region, zone, or location of each resource it finds — probing Vertex AI across all major regions — so the report shows exactly which regions of the project are in use and by which services. It classifies each service as Active, Passive (enabled but no live resources), or Enabled, and writes a single self-contained HTML dashboard with dark mode, tabbed navigation, badges, and a key-metrics grid.</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The tool is deliberately simple: one Bash script, no infrastructure to deploy, nothing left running in the project.</w:t>
      </w:r>
    </w:p>
    <w:p>
      <w:pPr>
        <w:pStyle w:val="Heading2"/>
        <w:keepNext/>
        <w:spacing w:after="80" w:before="220"/>
      </w:pPr>
      <w:r>
        <w:rPr>
          <w:rFonts w:ascii="Calibri" w:cs="Calibri" w:eastAsia="Calibri" w:hAnsi="Calibri"/>
          <w:b/>
          <w:bCs/>
          <w:color w:val="1A73E8"/>
          <w:sz w:val="24"/>
          <w:szCs w:val="24"/>
        </w:rPr>
        <w:t xml:space="preserve">Why it costs nothing extra</w:t>
      </w:r>
    </w:p>
    <w:p>
      <w:pPr>
        <w:pStyle w:val="ListParagraph"/>
        <w:numPr>
          <w:ilvl w:val="0"/>
          <w:numId w:val="2"/>
        </w:numPr>
        <w:spacing w:after="80" w:line="276"/>
      </w:pPr>
      <w:r>
        <w:rPr>
          <w:rFonts w:ascii="Calibri" w:cs="Calibri" w:eastAsia="Calibri" w:hAnsi="Calibri"/>
          <w:color w:val="1F2933"/>
          <w:sz w:val="21"/>
          <w:szCs w:val="21"/>
        </w:rPr>
        <w:t xml:space="preserve">It calls only read-only gcloud APIs (list / get) — no resources are created, so there is nothing to bill.</w:t>
      </w:r>
    </w:p>
    <w:p>
      <w:pPr>
        <w:pStyle w:val="ListParagraph"/>
        <w:numPr>
          <w:ilvl w:val="0"/>
          <w:numId w:val="2"/>
        </w:numPr>
        <w:spacing w:after="80" w:line="276"/>
      </w:pPr>
      <w:r>
        <w:rPr>
          <w:rFonts w:ascii="Calibri" w:cs="Calibri" w:eastAsia="Calibri" w:hAnsi="Calibri"/>
          <w:color w:val="1F2933"/>
          <w:sz w:val="21"/>
          <w:szCs w:val="21"/>
        </w:rPr>
        <w:t xml:space="preserve">It uses no Cloud Asset Inventory — no cloudasset.assets.* permission is requested or required.</w:t>
      </w:r>
    </w:p>
    <w:p>
      <w:pPr>
        <w:pStyle w:val="ListParagraph"/>
        <w:numPr>
          <w:ilvl w:val="0"/>
          <w:numId w:val="2"/>
        </w:numPr>
        <w:spacing w:after="80" w:line="276"/>
      </w:pPr>
      <w:r>
        <w:rPr>
          <w:rFonts w:ascii="Calibri" w:cs="Calibri" w:eastAsia="Calibri" w:hAnsi="Calibri"/>
          <w:color w:val="1F2933"/>
          <w:sz w:val="21"/>
          <w:szCs w:val="21"/>
        </w:rPr>
        <w:t xml:space="preserve">It enables no premium tier — Security Command Center Premium stays off.</w:t>
      </w:r>
    </w:p>
    <w:p>
      <w:pPr>
        <w:pStyle w:val="ListParagraph"/>
        <w:numPr>
          <w:ilvl w:val="0"/>
          <w:numId w:val="2"/>
        </w:numPr>
        <w:spacing w:after="80" w:line="276"/>
      </w:pPr>
      <w:r>
        <w:rPr>
          <w:rFonts w:ascii="Calibri" w:cs="Calibri" w:eastAsia="Calibri" w:hAnsi="Calibri"/>
          <w:color w:val="1F2933"/>
          <w:sz w:val="21"/>
          <w:szCs w:val="21"/>
        </w:rPr>
        <w:t xml:space="preserve">It uses read permissions we already grant (roles/viewer) — no new entitlements needed.</w:t>
      </w:r>
    </w:p>
    <w:p>
      <w:pPr>
        <w:pStyle w:val="ListParagraph"/>
        <w:numPr>
          <w:ilvl w:val="0"/>
          <w:numId w:val="2"/>
        </w:numPr>
        <w:spacing w:after="80" w:line="276"/>
      </w:pPr>
      <w:r>
        <w:rPr>
          <w:rFonts w:ascii="Calibri" w:cs="Calibri" w:eastAsia="Calibri" w:hAnsi="Calibri"/>
          <w:color w:val="1F2933"/>
          <w:sz w:val="21"/>
          <w:szCs w:val="21"/>
        </w:rPr>
        <w:t xml:space="preserve">It stores nothing in GCP — the report is a local HTML file, not a hosted dashboard or a BigQuery export.</w:t>
      </w:r>
    </w:p>
    <w:p>
      <w:pPr>
        <w:pStyle w:val="ListParagraph"/>
        <w:numPr>
          <w:ilvl w:val="0"/>
          <w:numId w:val="2"/>
        </w:numPr>
        <w:spacing w:after="80" w:line="276"/>
      </w:pPr>
      <w:r>
        <w:rPr>
          <w:rFonts w:ascii="Calibri" w:cs="Calibri" w:eastAsia="Calibri" w:hAnsi="Calibri"/>
          <w:color w:val="1F2933"/>
          <w:sz w:val="21"/>
          <w:szCs w:val="21"/>
        </w:rPr>
        <w:t xml:space="preserve">It runs on demand — on an engineer's machine or an existing CI runner — so there is no always-on compute footprint.</w:t>
      </w:r>
    </w:p>
    <w:p>
      <w:pPr>
        <w:pStyle w:val="Heading1"/>
        <w:keepNext/>
        <w:pBdr>
          <w:bottom w:val="single" w:color="1A73E8" w:sz="10"/>
        </w:pBdr>
        <w:spacing w:after="120" w:before="320"/>
      </w:pPr>
      <w:r>
        <w:rPr>
          <w:rFonts w:ascii="Calibri" w:cs="Calibri" w:eastAsia="Calibri" w:hAnsi="Calibri"/>
          <w:b/>
          <w:bCs/>
          <w:color w:val="1A237E"/>
          <w:sz w:val="30"/>
          <w:szCs w:val="30"/>
        </w:rPr>
        <w:t xml:space="preserve">4. Cost Comparison at a Glance</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The comparison below sets the managed GCP approach against the proposed script for the inventory-visibility use case.</w:t>
      </w:r>
    </w:p>
    <w:p>
      <w:pPr>
        <w:spacing w:after="40"/>
      </w:pPr>
    </w:p>
    <w:tbl>
      <w:tblPr>
        <w:tblW w:type="dxa" w:w="9360"/>
        <w:tblBorders>
          <w:top w:val="single" w:color="D9DEE4" w:sz="4"/>
          <w:left w:val="single" w:color="D9DEE4" w:sz="4"/>
          <w:bottom w:val="single" w:color="D9DEE4" w:sz="4"/>
          <w:right w:val="single" w:color="D9DEE4" w:sz="4"/>
          <w:insideH w:val="single" w:color="D9DEE4" w:sz="4"/>
          <w:insideV w:val="single" w:color="D9DEE4" w:sz="4"/>
        </w:tblBorders>
      </w:tblPr>
      <w:tblGrid>
        <w:gridCol w:w="2760"/>
        <w:gridCol w:w="3300"/>
        <w:gridCol w:w="3300"/>
      </w:tblGrid>
      <w:tr>
        <w:trPr>
          <w:tblHeader/>
        </w:trPr>
        <w:tc>
          <w:tcPr>
            <w:tcW w:type="dxa" w:w="2760"/>
            <w:tcBorders>
              <w:top w:val="single" w:color="1A237E" w:sz="4"/>
              <w:left w:val="single" w:color="1A237E" w:sz="4"/>
              <w:bottom w:val="single" w:color="1A237E" w:sz="4"/>
              <w:right w:val="single" w:color="1A237E" w:sz="4"/>
            </w:tcBorders>
            <w:shd w:fill="1A237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Dimension</w:t>
            </w:r>
          </w:p>
        </w:tc>
        <w:tc>
          <w:tcPr>
            <w:tcW w:type="dxa" w:w="3300"/>
            <w:tcBorders>
              <w:top w:val="single" w:color="1A237E" w:sz="4"/>
              <w:left w:val="single" w:color="1A237E" w:sz="4"/>
              <w:bottom w:val="single" w:color="1A237E" w:sz="4"/>
              <w:right w:val="single" w:color="1A237E" w:sz="4"/>
            </w:tcBorders>
            <w:shd w:fill="1A237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Native GCP tooling</w:t>
            </w:r>
          </w:p>
        </w:tc>
        <w:tc>
          <w:tcPr>
            <w:tcW w:type="dxa" w:w="3300"/>
            <w:tcBorders>
              <w:top w:val="single" w:color="1A237E" w:sz="4"/>
              <w:left w:val="single" w:color="1A237E" w:sz="4"/>
              <w:bottom w:val="single" w:color="1A237E" w:sz="4"/>
              <w:right w:val="single" w:color="1A237E" w:sz="4"/>
            </w:tcBorders>
            <w:shd w:fill="1A237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Proposed script</w:t>
            </w:r>
          </w:p>
        </w:tc>
      </w:tr>
      <w:tr>
        <w:tc>
          <w:tcPr>
            <w:tcW w:type="dxa" w:w="27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Incremental cloud cost</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D97706"/>
                <w:sz w:val="20"/>
                <w:szCs w:val="20"/>
              </w:rPr>
              <w:t xml:space="preserve">Recurring, asset-scaled (SCC Premium / feeds)</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0F9D58"/>
                <w:sz w:val="20"/>
                <w:szCs w:val="20"/>
              </w:rPr>
              <w:t xml:space="preserve">None — read-only calls only</w:t>
            </w:r>
          </w:p>
        </w:tc>
      </w:tr>
      <w:tr>
        <w:tc>
          <w:tcPr>
            <w:tcW w:type="dxa" w:w="27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Setup effort</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Enable APIs, feeds/exports, or premium tier</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chmod +x, then run</w:t>
            </w:r>
          </w:p>
        </w:tc>
      </w:tr>
      <w:tr>
        <w:tc>
          <w:tcPr>
            <w:tcW w:type="dxa" w:w="27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Data residency</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Asset data exported / stored in GCP</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Local HTML file only</w:t>
            </w:r>
          </w:p>
        </w:tc>
      </w:tr>
      <w:tr>
        <w:tc>
          <w:tcPr>
            <w:tcW w:type="dxa" w:w="27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Coverage model</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Continuous asset tracking</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On-demand point-in-time snapshot</w:t>
            </w:r>
          </w:p>
        </w:tc>
      </w:tr>
      <w:tr>
        <w:tc>
          <w:tcPr>
            <w:tcW w:type="dxa" w:w="27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Regional view</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Configurable</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Multi-region identification built in</w:t>
            </w:r>
          </w:p>
        </w:tc>
      </w:tr>
      <w:tr>
        <w:tc>
          <w:tcPr>
            <w:tcW w:type="dxa" w:w="27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Portability of output</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Console / BigQuery / API</w:t>
            </w:r>
          </w:p>
        </w:tc>
        <w:tc>
          <w:tcPr>
            <w:tcW w:type="dxa" w:w="33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Self-contained HTML, shareable via zip</w:t>
            </w:r>
          </w:p>
        </w:tc>
      </w:tr>
      <w:tr>
        <w:tc>
          <w:tcPr>
            <w:tcW w:type="dxa" w:w="27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Permissions required</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Asset Inventory / SCC roles</w:t>
            </w:r>
          </w:p>
        </w:tc>
        <w:tc>
          <w:tcPr>
            <w:tcW w:type="dxa" w:w="33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Existing read-only Viewer</w:t>
            </w:r>
          </w:p>
        </w:tc>
      </w:tr>
    </w:tbl>
    <w:p>
      <w:pPr>
        <w:spacing w:after="40"/>
      </w:pPr>
    </w:p>
    <w:tbl>
      <w:tblPr>
        <w:tblW w:type="dxa" w:w="9360"/>
        <w:tblBorders>
          <w:top w:val="single" w:color="1A73E8" w:sz="4"/>
          <w:left w:val="single" w:color="1A73E8" w:sz="24"/>
          <w:bottom w:val="single" w:color="1A73E8" w:sz="4"/>
          <w:right w:val="single" w:color="1A73E8" w:sz="4"/>
          <w:insideH w:val="none" w:color="FFFFFF" w:sz="0"/>
          <w:insideV w:val="none" w:color="FFFFFF" w:sz="0"/>
        </w:tblBorders>
      </w:tblPr>
      <w:tblGrid>
        <w:gridCol w:w="9360"/>
      </w:tblGrid>
      <w:tr>
        <w:tc>
          <w:tcPr>
            <w:tcW w:type="dxa" w:w="9360"/>
            <w:shd w:fill="E3ECFD" w:color="auto" w:val="clear"/>
            <w:tcMar>
              <w:top w:type="dxa" w:w="140"/>
              <w:left w:type="dxa" w:w="200"/>
              <w:bottom w:type="dxa" w:w="140"/>
              <w:right w:type="dxa" w:w="200"/>
            </w:tcMar>
          </w:tcPr>
          <w:p>
            <w:pPr>
              <w:spacing w:after="60"/>
            </w:pPr>
            <w:r>
              <w:rPr>
                <w:rFonts w:ascii="Calibri" w:cs="Calibri" w:eastAsia="Calibri" w:hAnsi="Calibri"/>
                <w:b/>
                <w:bCs/>
                <w:caps/>
                <w:color w:val="1A237E"/>
                <w:sz w:val="22"/>
                <w:szCs w:val="22"/>
              </w:rPr>
              <w:t xml:space="preserve">Estimated annual saving</w:t>
            </w:r>
          </w:p>
          <w:p>
            <w:pPr>
              <w:spacing w:after="60" w:line="276"/>
            </w:pPr>
            <w:r>
              <w:rPr>
                <w:rFonts w:ascii="Calibri" w:cs="Calibri" w:eastAsia="Calibri" w:hAnsi="Calibri"/>
                <w:color w:val="1F2933"/>
                <w:sz w:val="21"/>
                <w:szCs w:val="21"/>
              </w:rPr>
              <w:t xml:space="preserve">By meeting the inventory-visibility need with the script, we avoid Security Command Center Premium and</w:t>
            </w:r>
          </w:p>
          <w:p>
            <w:pPr>
              <w:spacing w:after="0" w:line="276"/>
            </w:pPr>
            <w:r>
              <w:rPr>
                <w:rFonts w:ascii="Calibri" w:cs="Calibri" w:eastAsia="Calibri" w:hAnsi="Calibri"/>
                <w:color w:val="1F2933"/>
                <w:sz w:val="21"/>
                <w:szCs w:val="21"/>
              </w:rPr>
              <w:t xml:space="preserve">continuous Asset Inventory export charges for this use case — a saving that recurs every month and grows with the estate.</w:t>
            </w:r>
          </w:p>
        </w:tc>
      </w:tr>
    </w:tbl>
    <w:p>
      <w:pPr>
        <w:spacing w:after="140" w:before="40" w:line="276"/>
        <w:jc w:val="left"/>
      </w:pPr>
      <w:r>
        <w:rPr>
          <w:rFonts w:ascii="Calibri" w:cs="Calibri" w:eastAsia="Calibri" w:hAnsi="Calibri"/>
          <w:b w:val="false"/>
          <w:bCs w:val="false"/>
          <w:i/>
          <w:iCs/>
          <w:caps w:val="false"/>
          <w:color w:val="6B7280"/>
          <w:sz w:val="18"/>
          <w:szCs w:val="18"/>
        </w:rPr>
        <w:t xml:space="preserve">A precise figure depends on current asset and region counts; the DevOps team can produce a tailored estimate from a single billing pull on request.</w:t>
      </w:r>
    </w:p>
    <w:p>
      <w:pPr>
        <w:pStyle w:val="Heading1"/>
        <w:keepNext/>
        <w:pBdr>
          <w:bottom w:val="single" w:color="1A73E8" w:sz="10"/>
        </w:pBdr>
        <w:spacing w:after="120" w:before="320"/>
      </w:pPr>
      <w:r>
        <w:rPr>
          <w:rFonts w:ascii="Calibri" w:cs="Calibri" w:eastAsia="Calibri" w:hAnsi="Calibri"/>
          <w:b/>
          <w:bCs/>
          <w:color w:val="1A237E"/>
          <w:sz w:val="30"/>
          <w:szCs w:val="30"/>
        </w:rPr>
        <w:t xml:space="preserve">5. Benefits Beyond the Savings</w:t>
      </w:r>
    </w:p>
    <w:p>
      <w:pPr>
        <w:pStyle w:val="ListParagraph"/>
        <w:numPr>
          <w:ilvl w:val="0"/>
          <w:numId w:val="2"/>
        </w:numPr>
        <w:spacing w:after="80" w:line="276"/>
      </w:pPr>
      <w:r>
        <w:rPr>
          <w:rFonts w:ascii="Calibri" w:cs="Calibri" w:eastAsia="Calibri" w:hAnsi="Calibri"/>
          <w:b/>
          <w:bCs/>
          <w:color w:val="1F2933"/>
          <w:sz w:val="21"/>
          <w:szCs w:val="21"/>
        </w:rPr>
        <w:t xml:space="preserve">Immediate. </w:t>
      </w:r>
      <w:r>
        <w:rPr>
          <w:rFonts w:ascii="Calibri" w:cs="Calibri" w:eastAsia="Calibri" w:hAnsi="Calibri"/>
          <w:color w:val="1F2933"/>
          <w:sz w:val="21"/>
          <w:szCs w:val="21"/>
        </w:rPr>
        <w:t xml:space="preserve">No procurement, no premium enablement, no waiting — the report can be produced today.</w:t>
      </w:r>
    </w:p>
    <w:p>
      <w:pPr>
        <w:pStyle w:val="ListParagraph"/>
        <w:numPr>
          <w:ilvl w:val="0"/>
          <w:numId w:val="2"/>
        </w:numPr>
        <w:spacing w:after="80" w:line="276"/>
      </w:pPr>
      <w:r>
        <w:rPr>
          <w:rFonts w:ascii="Calibri" w:cs="Calibri" w:eastAsia="Calibri" w:hAnsi="Calibri"/>
          <w:b/>
          <w:bCs/>
          <w:color w:val="1F2933"/>
          <w:sz w:val="21"/>
          <w:szCs w:val="21"/>
        </w:rPr>
        <w:t xml:space="preserve">Safe. </w:t>
      </w:r>
      <w:r>
        <w:rPr>
          <w:rFonts w:ascii="Calibri" w:cs="Calibri" w:eastAsia="Calibri" w:hAnsi="Calibri"/>
          <w:color w:val="1F2933"/>
          <w:sz w:val="21"/>
          <w:szCs w:val="21"/>
        </w:rPr>
        <w:t xml:space="preserve">The scan is strictly read-only; it cannot modify or delete anything in the project.</w:t>
      </w:r>
    </w:p>
    <w:p>
      <w:pPr>
        <w:pStyle w:val="ListParagraph"/>
        <w:numPr>
          <w:ilvl w:val="0"/>
          <w:numId w:val="2"/>
        </w:numPr>
        <w:spacing w:after="80" w:line="276"/>
      </w:pPr>
      <w:r>
        <w:rPr>
          <w:rFonts w:ascii="Calibri" w:cs="Calibri" w:eastAsia="Calibri" w:hAnsi="Calibri"/>
          <w:b/>
          <w:bCs/>
          <w:color w:val="1F2933"/>
          <w:sz w:val="21"/>
          <w:szCs w:val="21"/>
        </w:rPr>
        <w:t xml:space="preserve">Readable by non-engineers. </w:t>
      </w:r>
      <w:r>
        <w:rPr>
          <w:rFonts w:ascii="Calibri" w:cs="Calibri" w:eastAsia="Calibri" w:hAnsi="Calibri"/>
          <w:color w:val="1F2933"/>
          <w:sz w:val="21"/>
          <w:szCs w:val="21"/>
        </w:rPr>
        <w:t xml:space="preserve">The HTML dashboard is designed for managers and auditors, not just for the terminal.</w:t>
      </w:r>
    </w:p>
    <w:p>
      <w:pPr>
        <w:pStyle w:val="ListParagraph"/>
        <w:numPr>
          <w:ilvl w:val="0"/>
          <w:numId w:val="2"/>
        </w:numPr>
        <w:spacing w:after="80" w:line="276"/>
      </w:pPr>
      <w:r>
        <w:rPr>
          <w:rFonts w:ascii="Calibri" w:cs="Calibri" w:eastAsia="Calibri" w:hAnsi="Calibri"/>
          <w:b/>
          <w:bCs/>
          <w:color w:val="1F2933"/>
          <w:sz w:val="21"/>
          <w:szCs w:val="21"/>
        </w:rPr>
        <w:t xml:space="preserve">Region-aware. </w:t>
      </w:r>
      <w:r>
        <w:rPr>
          <w:rFonts w:ascii="Calibri" w:cs="Calibri" w:eastAsia="Calibri" w:hAnsi="Calibri"/>
          <w:color w:val="1F2933"/>
          <w:sz w:val="21"/>
          <w:szCs w:val="21"/>
        </w:rPr>
        <w:t xml:space="preserve">It pinpoints exactly which regions are in use and by which services — valuable for residency and cost reviews.</w:t>
      </w:r>
    </w:p>
    <w:p>
      <w:pPr>
        <w:pStyle w:val="ListParagraph"/>
        <w:numPr>
          <w:ilvl w:val="0"/>
          <w:numId w:val="2"/>
        </w:numPr>
        <w:spacing w:after="80" w:line="276"/>
      </w:pPr>
      <w:r>
        <w:rPr>
          <w:rFonts w:ascii="Calibri" w:cs="Calibri" w:eastAsia="Calibri" w:hAnsi="Calibri"/>
          <w:b/>
          <w:bCs/>
          <w:color w:val="1F2933"/>
          <w:sz w:val="21"/>
          <w:szCs w:val="21"/>
        </w:rPr>
        <w:t xml:space="preserve">Portable &amp; shareable. </w:t>
      </w:r>
      <w:r>
        <w:rPr>
          <w:rFonts w:ascii="Calibri" w:cs="Calibri" w:eastAsia="Calibri" w:hAnsi="Calibri"/>
          <w:color w:val="1F2933"/>
          <w:sz w:val="21"/>
          <w:szCs w:val="21"/>
        </w:rPr>
        <w:t xml:space="preserve">One HTML file (plus an icons folder, or a single zip) opens in any browser, online or offline.</w:t>
      </w:r>
    </w:p>
    <w:p>
      <w:pPr>
        <w:pStyle w:val="ListParagraph"/>
        <w:numPr>
          <w:ilvl w:val="0"/>
          <w:numId w:val="2"/>
        </w:numPr>
        <w:spacing w:after="80" w:line="276"/>
      </w:pPr>
      <w:r>
        <w:rPr>
          <w:rFonts w:ascii="Calibri" w:cs="Calibri" w:eastAsia="Calibri" w:hAnsi="Calibri"/>
          <w:b/>
          <w:bCs/>
          <w:color w:val="1F2933"/>
          <w:sz w:val="21"/>
          <w:szCs w:val="21"/>
        </w:rPr>
        <w:t xml:space="preserve">CI-friendly. </w:t>
      </w:r>
      <w:r>
        <w:rPr>
          <w:rFonts w:ascii="Calibri" w:cs="Calibri" w:eastAsia="Calibri" w:hAnsi="Calibri"/>
          <w:color w:val="1F2933"/>
          <w:sz w:val="21"/>
          <w:szCs w:val="21"/>
        </w:rPr>
        <w:t xml:space="preserve">A plain-log mode makes it easy to run on a schedule in an existing pipeline at no added cost.</w:t>
      </w:r>
    </w:p>
    <w:p>
      <w:pPr>
        <w:pStyle w:val="ListParagraph"/>
        <w:numPr>
          <w:ilvl w:val="0"/>
          <w:numId w:val="2"/>
        </w:numPr>
        <w:spacing w:after="80" w:line="276"/>
      </w:pPr>
      <w:r>
        <w:rPr>
          <w:rFonts w:ascii="Calibri" w:cs="Calibri" w:eastAsia="Calibri" w:hAnsi="Calibri"/>
          <w:b/>
          <w:bCs/>
          <w:color w:val="1F2933"/>
          <w:sz w:val="21"/>
          <w:szCs w:val="21"/>
        </w:rPr>
        <w:t xml:space="preserve">Transparent &amp; auditable. </w:t>
      </w:r>
      <w:r>
        <w:rPr>
          <w:rFonts w:ascii="Calibri" w:cs="Calibri" w:eastAsia="Calibri" w:hAnsi="Calibri"/>
          <w:color w:val="1F2933"/>
          <w:sz w:val="21"/>
          <w:szCs w:val="21"/>
        </w:rPr>
        <w:t xml:space="preserve">The logic is a short, reviewable Bash script — no black box, no vendor lock-in.</w:t>
      </w:r>
    </w:p>
    <w:p>
      <w:pPr>
        <w:pStyle w:val="Heading1"/>
        <w:keepNext/>
        <w:pBdr>
          <w:bottom w:val="single" w:color="1A73E8" w:sz="10"/>
        </w:pBdr>
        <w:spacing w:after="120" w:before="320"/>
      </w:pPr>
      <w:r>
        <w:rPr>
          <w:rFonts w:ascii="Calibri" w:cs="Calibri" w:eastAsia="Calibri" w:hAnsi="Calibri"/>
          <w:b/>
          <w:bCs/>
          <w:color w:val="1A237E"/>
          <w:sz w:val="30"/>
          <w:szCs w:val="30"/>
        </w:rPr>
        <w:t xml:space="preserve">6. Anticipated Questions &amp; Our Response</w:t>
      </w:r>
    </w:p>
    <w:tbl>
      <w:tblPr>
        <w:tblW w:type="dxa" w:w="9360"/>
        <w:tblBorders>
          <w:top w:val="single" w:color="D9DEE4" w:sz="4"/>
          <w:left w:val="single" w:color="D9DEE4" w:sz="4"/>
          <w:bottom w:val="single" w:color="D9DEE4" w:sz="4"/>
          <w:right w:val="single" w:color="D9DEE4" w:sz="4"/>
          <w:insideH w:val="single" w:color="D9DEE4" w:sz="4"/>
          <w:insideV w:val="single" w:color="D9DEE4" w:sz="4"/>
        </w:tblBorders>
      </w:tblPr>
      <w:tblGrid>
        <w:gridCol w:w="3200"/>
        <w:gridCol w:w="6160"/>
      </w:tblGrid>
      <w:tr>
        <w:trPr>
          <w:tblHeader/>
        </w:trPr>
        <w:tc>
          <w:tcPr>
            <w:tcW w:type="dxa" w:w="3200"/>
            <w:tcBorders>
              <w:top w:val="single" w:color="1A237E" w:sz="4"/>
              <w:left w:val="single" w:color="1A237E" w:sz="4"/>
              <w:bottom w:val="single" w:color="1A237E" w:sz="4"/>
              <w:right w:val="single" w:color="1A237E" w:sz="4"/>
            </w:tcBorders>
            <w:shd w:fill="1A237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Concern</w:t>
            </w:r>
          </w:p>
        </w:tc>
        <w:tc>
          <w:tcPr>
            <w:tcW w:type="dxa" w:w="6160"/>
            <w:tcBorders>
              <w:top w:val="single" w:color="1A237E" w:sz="4"/>
              <w:left w:val="single" w:color="1A237E" w:sz="4"/>
              <w:bottom w:val="single" w:color="1A237E" w:sz="4"/>
              <w:right w:val="single" w:color="1A237E" w:sz="4"/>
            </w:tcBorders>
            <w:shd w:fill="1A237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Response</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“Is it as thorough as Asset Inventory / SCC?”</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For continuous security posture and asset history, the native tools remain the right choice. For knowing what exists and where — our need here — the script is sufficient and cost-neutral. They are complementary; premium tooling can still be scoped to sensitive workloads only.</w:t>
            </w:r>
          </w:p>
        </w:tc>
      </w:tr>
      <w:tr>
        <w:tc>
          <w:tcPr>
            <w:tcW w:type="dxa" w:w="32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“Is it secure to run?”</w:t>
            </w:r>
          </w:p>
        </w:tc>
        <w:tc>
          <w:tcPr>
            <w:tcW w:type="dxa" w:w="61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Yes. It performs only read-only API calls and needs only Viewer. It writes no data back to GCP and requires no write or asset-inventory permissions.</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“Who maintains it?”</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The DevOps Engineering team owns it. It is a single, well-commented Bash script; adding a new service check is a few lines. There is no infrastructure to operate.</w:t>
            </w:r>
          </w:p>
        </w:tc>
      </w:tr>
      <w:tr>
        <w:tc>
          <w:tcPr>
            <w:tcW w:type="dxa" w:w="32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“What if we need continuous monitoring later?”</w:t>
            </w:r>
          </w:p>
        </w:tc>
        <w:tc>
          <w:tcPr>
            <w:tcW w:type="dxa" w:w="61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We can schedule the script in CI for periodic snapshots at no added cost, and adopt SCC Premium or Asset Inventory feeds selectively only where continuous monitoring is genuinely required.</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“How accurate is it?”</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It confirms real resources with native gcloud calls rather than inferring from enabled APIs, distinguishes Active from Passive services, and reports per-region detail. Results reflect a point in time, which suits inventory and review cycles.</w:t>
            </w:r>
          </w:p>
        </w:tc>
      </w:tr>
    </w:tbl>
    <w:p>
      <w:pPr>
        <w:pStyle w:val="Heading1"/>
        <w:keepNext/>
        <w:pBdr>
          <w:bottom w:val="single" w:color="1A73E8" w:sz="10"/>
        </w:pBdr>
        <w:spacing w:after="120" w:before="320"/>
      </w:pPr>
      <w:r>
        <w:rPr>
          <w:rFonts w:ascii="Calibri" w:cs="Calibri" w:eastAsia="Calibri" w:hAnsi="Calibri"/>
          <w:b/>
          <w:bCs/>
          <w:color w:val="1A237E"/>
          <w:sz w:val="30"/>
          <w:szCs w:val="30"/>
        </w:rPr>
        <w:t xml:space="preserve">7. Recommendation &amp; Next Steps</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We recommend adopting gcp_inventory_scan.sh as the standard method for GCP inventory visibility, and keeping Security Command Center Premium and continuous Asset Inventory exports out of scope except where continuous monitoring is explicitly required. This captures the visibility the business needs while removing avoidable, recurring cloud charges.</w:t>
      </w:r>
    </w:p>
    <w:p>
      <w:pPr>
        <w:pStyle w:val="ListParagraph"/>
        <w:numPr>
          <w:ilvl w:val="0"/>
          <w:numId w:val="3"/>
        </w:numPr>
        <w:spacing w:after="80" w:line="276"/>
      </w:pPr>
      <w:r>
        <w:rPr>
          <w:rFonts w:ascii="Calibri" w:cs="Calibri" w:eastAsia="Calibri" w:hAnsi="Calibri"/>
          <w:color w:val="1F2933"/>
          <w:sz w:val="21"/>
          <w:szCs w:val="21"/>
        </w:rPr>
        <w:t xml:space="preserve">Approve the script as the sanctioned inventory-visibility method for GCP.</w:t>
      </w:r>
    </w:p>
    <w:p>
      <w:pPr>
        <w:pStyle w:val="ListParagraph"/>
        <w:numPr>
          <w:ilvl w:val="0"/>
          <w:numId w:val="3"/>
        </w:numPr>
        <w:spacing w:after="80" w:line="276"/>
      </w:pPr>
      <w:r>
        <w:rPr>
          <w:rFonts w:ascii="Calibri" w:cs="Calibri" w:eastAsia="Calibri" w:hAnsi="Calibri"/>
          <w:color w:val="1F2933"/>
          <w:sz w:val="21"/>
          <w:szCs w:val="21"/>
        </w:rPr>
        <w:t xml:space="preserve">Confirm a read-only Viewer role for the DevOps team to run it.</w:t>
      </w:r>
    </w:p>
    <w:p>
      <w:pPr>
        <w:pStyle w:val="ListParagraph"/>
        <w:numPr>
          <w:ilvl w:val="0"/>
          <w:numId w:val="3"/>
        </w:numPr>
        <w:spacing w:after="80" w:line="276"/>
      </w:pPr>
      <w:r>
        <w:rPr>
          <w:rFonts w:ascii="Calibri" w:cs="Calibri" w:eastAsia="Calibri" w:hAnsi="Calibri"/>
          <w:color w:val="1F2933"/>
          <w:sz w:val="21"/>
          <w:szCs w:val="21"/>
        </w:rPr>
        <w:t xml:space="preserve">Schedule a recurring run in an existing CI pipeline to produce periodic snapshots.</w:t>
      </w:r>
    </w:p>
    <w:p>
      <w:pPr>
        <w:pStyle w:val="ListParagraph"/>
        <w:numPr>
          <w:ilvl w:val="0"/>
          <w:numId w:val="3"/>
        </w:numPr>
        <w:spacing w:after="80" w:line="276"/>
      </w:pPr>
      <w:r>
        <w:rPr>
          <w:rFonts w:ascii="Calibri" w:cs="Calibri" w:eastAsia="Calibri" w:hAnsi="Calibri"/>
          <w:color w:val="1F2933"/>
          <w:sz w:val="21"/>
          <w:szCs w:val="21"/>
        </w:rPr>
        <w:t xml:space="preserve">Circulate the HTML dashboard to Finance and Security as the shared source of inventory truth.</w:t>
      </w:r>
    </w:p>
    <w:p>
      <w:pPr>
        <w:pStyle w:val="ListParagraph"/>
        <w:numPr>
          <w:ilvl w:val="0"/>
          <w:numId w:val="3"/>
        </w:numPr>
        <w:spacing w:after="80" w:line="276"/>
      </w:pPr>
      <w:r>
        <w:rPr>
          <w:rFonts w:ascii="Calibri" w:cs="Calibri" w:eastAsia="Calibri" w:hAnsi="Calibri"/>
          <w:color w:val="1F2933"/>
          <w:sz w:val="21"/>
          <w:szCs w:val="21"/>
        </w:rPr>
        <w:t xml:space="preserve">Revisit SCC Premium / Asset Inventory feeds only for workloads with a specific continuous-monitoring mandate.</w:t>
      </w:r>
    </w:p>
    <w:p>
      <w:pPr>
        <w:spacing w:after="60"/>
      </w:pPr>
    </w:p>
    <w:tbl>
      <w:tblPr>
        <w:tblW w:type="dxa" w:w="9360"/>
        <w:tblBorders>
          <w:top w:val="single" w:color="1A73E8" w:sz="4"/>
          <w:left w:val="single" w:color="1A73E8" w:sz="24"/>
          <w:bottom w:val="single" w:color="1A73E8" w:sz="4"/>
          <w:right w:val="single" w:color="1A73E8" w:sz="4"/>
          <w:insideH w:val="none" w:color="FFFFFF" w:sz="0"/>
          <w:insideV w:val="none" w:color="FFFFFF" w:sz="0"/>
        </w:tblBorders>
      </w:tblPr>
      <w:tblGrid>
        <w:gridCol w:w="9360"/>
      </w:tblGrid>
      <w:tr>
        <w:tc>
          <w:tcPr>
            <w:tcW w:type="dxa" w:w="9360"/>
            <w:shd w:fill="E3ECFD" w:color="auto" w:val="clear"/>
            <w:tcMar>
              <w:top w:type="dxa" w:w="140"/>
              <w:left w:type="dxa" w:w="200"/>
              <w:bottom w:type="dxa" w:w="140"/>
              <w:right w:type="dxa" w:w="200"/>
            </w:tcMar>
          </w:tcPr>
          <w:p>
            <w:pPr>
              <w:spacing w:after="60"/>
            </w:pPr>
            <w:r>
              <w:rPr>
                <w:rFonts w:ascii="Calibri" w:cs="Calibri" w:eastAsia="Calibri" w:hAnsi="Calibri"/>
                <w:b/>
                <w:bCs/>
                <w:caps/>
                <w:color w:val="1A237E"/>
                <w:sz w:val="22"/>
                <w:szCs w:val="22"/>
              </w:rPr>
              <w:t xml:space="preserve">The ask</w:t>
            </w:r>
          </w:p>
          <w:p>
            <w:pPr>
              <w:spacing w:after="60" w:line="276"/>
            </w:pPr>
            <w:r>
              <w:rPr>
                <w:rFonts w:ascii="Calibri" w:cs="Calibri" w:eastAsia="Calibri" w:hAnsi="Calibri"/>
                <w:color w:val="1F2933"/>
                <w:sz w:val="21"/>
                <w:szCs w:val="21"/>
              </w:rPr>
              <w:t xml:space="preserve">Approve the read-only script as our GCP inventory-visibility standard and defer premium tooling</w:t>
            </w:r>
          </w:p>
          <w:p>
            <w:pPr>
              <w:spacing w:after="0" w:line="276"/>
            </w:pPr>
            <w:r>
              <w:rPr>
                <w:rFonts w:ascii="Calibri" w:cs="Calibri" w:eastAsia="Calibri" w:hAnsi="Calibri"/>
                <w:color w:val="1F2933"/>
                <w:sz w:val="21"/>
                <w:szCs w:val="21"/>
              </w:rPr>
              <w:t xml:space="preserve">to narrowly scoped cases — delivering the visibility we need at zero incremental cost.</w:t>
            </w:r>
          </w:p>
        </w:tc>
      </w:tr>
    </w:tbl>
    <w:p>
      <w:r>
        <w:br w:type="page"/>
      </w:r>
    </w:p>
    <w:p>
      <w:pPr>
        <w:pStyle w:val="Heading1"/>
        <w:keepNext/>
        <w:pBdr>
          <w:bottom w:val="single" w:color="1A73E8" w:sz="10"/>
        </w:pBdr>
        <w:spacing w:after="120" w:before="320"/>
      </w:pPr>
      <w:r>
        <w:rPr>
          <w:rFonts w:ascii="Calibri" w:cs="Calibri" w:eastAsia="Calibri" w:hAnsi="Calibri"/>
          <w:b/>
          <w:bCs/>
          <w:color w:val="1A237E"/>
          <w:sz w:val="30"/>
          <w:szCs w:val="30"/>
        </w:rPr>
        <w:t xml:space="preserve">Appendix A — What the Script Inventories</w:t>
      </w:r>
    </w:p>
    <w:p>
      <w:pPr>
        <w:spacing w:after="140" w:before="0" w:line="276"/>
        <w:jc w:val="left"/>
      </w:pPr>
      <w:r>
        <w:rPr>
          <w:rFonts w:ascii="Calibri" w:cs="Calibri" w:eastAsia="Calibri" w:hAnsi="Calibri"/>
          <w:b w:val="false"/>
          <w:bCs w:val="false"/>
          <w:i w:val="false"/>
          <w:iCs w:val="false"/>
          <w:caps w:val="false"/>
          <w:color w:val="1F2933"/>
          <w:sz w:val="21"/>
          <w:szCs w:val="21"/>
        </w:rPr>
        <w:t xml:space="preserve">The tool lists every enabled API and runs targeted, read-only deep checks across the following high-value services, recording the regions where live resources are found:</w:t>
      </w:r>
    </w:p>
    <w:p>
      <w:pPr>
        <w:spacing w:after="40"/>
      </w:pPr>
    </w:p>
    <w:tbl>
      <w:tblPr>
        <w:tblW w:type="dxa" w:w="9360"/>
        <w:tblBorders>
          <w:top w:val="single" w:color="D9DEE4" w:sz="4"/>
          <w:left w:val="single" w:color="D9DEE4" w:sz="4"/>
          <w:bottom w:val="single" w:color="D9DEE4" w:sz="4"/>
          <w:right w:val="single" w:color="D9DEE4" w:sz="4"/>
          <w:insideH w:val="single" w:color="D9DEE4" w:sz="4"/>
          <w:insideV w:val="single" w:color="D9DEE4" w:sz="4"/>
        </w:tblBorders>
      </w:tblPr>
      <w:tblGrid>
        <w:gridCol w:w="3200"/>
        <w:gridCol w:w="6160"/>
      </w:tblGrid>
      <w:tr>
        <w:trPr>
          <w:tblHeader/>
        </w:trPr>
        <w:tc>
          <w:tcPr>
            <w:tcW w:type="dxa" w:w="3200"/>
            <w:tcBorders>
              <w:top w:val="single" w:color="1A237E" w:sz="4"/>
              <w:left w:val="single" w:color="1A237E" w:sz="4"/>
              <w:bottom w:val="single" w:color="1A237E" w:sz="4"/>
              <w:right w:val="single" w:color="1A237E" w:sz="4"/>
            </w:tcBorders>
            <w:shd w:fill="1A237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Category</w:t>
            </w:r>
          </w:p>
        </w:tc>
        <w:tc>
          <w:tcPr>
            <w:tcW w:type="dxa" w:w="6160"/>
            <w:tcBorders>
              <w:top w:val="single" w:color="1A237E" w:sz="4"/>
              <w:left w:val="single" w:color="1A237E" w:sz="4"/>
              <w:bottom w:val="single" w:color="1A237E" w:sz="4"/>
              <w:right w:val="single" w:color="1A237E" w:sz="4"/>
            </w:tcBorders>
            <w:shd w:fill="1A237E" w:color="auto" w:val="clear"/>
            <w:tcMar>
              <w:top w:type="dxa" w:w="90"/>
              <w:left w:type="dxa" w:w="130"/>
              <w:bottom w:type="dxa" w:w="90"/>
              <w:right w:type="dxa" w:w="130"/>
            </w:tcMar>
          </w:tcPr>
          <w:p>
            <w:pPr>
              <w:spacing w:after="0" w:line="252"/>
            </w:pPr>
            <w:r>
              <w:rPr>
                <w:rFonts w:ascii="Calibri" w:cs="Calibri" w:eastAsia="Calibri" w:hAnsi="Calibri"/>
                <w:b/>
                <w:bCs/>
                <w:color w:val="FFFFFF"/>
                <w:sz w:val="20"/>
                <w:szCs w:val="20"/>
              </w:rPr>
              <w:t xml:space="preserve">Services covered</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Compute &amp; Containers</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Compute Engine, Google Kubernetes Engine (GKE), Cloud Run</w:t>
            </w:r>
          </w:p>
        </w:tc>
      </w:tr>
      <w:tr>
        <w:tc>
          <w:tcPr>
            <w:tcW w:type="dxa" w:w="32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AI &amp; Machine Learning</w:t>
            </w:r>
          </w:p>
        </w:tc>
        <w:tc>
          <w:tcPr>
            <w:tcW w:type="dxa" w:w="61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Vertex AI / Gemini (endpoints and models, probed across major regions)</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Serverless</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Cloud Functions (Gen1 and Gen2)</w:t>
            </w:r>
          </w:p>
        </w:tc>
      </w:tr>
      <w:tr>
        <w:tc>
          <w:tcPr>
            <w:tcW w:type="dxa" w:w="32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Messaging &amp; Integration</w:t>
            </w:r>
          </w:p>
        </w:tc>
        <w:tc>
          <w:tcPr>
            <w:tcW w:type="dxa" w:w="61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Pub/Sub (topics and subscriptions)</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Databases</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Cloud SQL</w:t>
            </w:r>
          </w:p>
        </w:tc>
      </w:tr>
      <w:tr>
        <w:tc>
          <w:tcPr>
            <w:tcW w:type="dxa" w:w="320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Storage</w:t>
            </w:r>
          </w:p>
        </w:tc>
        <w:tc>
          <w:tcPr>
            <w:tcW w:type="dxa" w:w="6160"/>
            <w:tcBorders>
              <w:top w:val="single" w:color="D9DEE4" w:sz="4"/>
              <w:left w:val="single" w:color="D9DEE4" w:sz="4"/>
              <w:bottom w:val="single" w:color="D9DEE4" w:sz="4"/>
              <w:right w:val="single" w:color="D9DEE4" w:sz="4"/>
            </w:tcBorders>
            <w:shd w:fill="F4F6F8"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Cloud Storage</w:t>
            </w:r>
          </w:p>
        </w:tc>
      </w:tr>
      <w:tr>
        <w:tc>
          <w:tcPr>
            <w:tcW w:type="dxa" w:w="320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bCs/>
                <w:i w:val="false"/>
                <w:iCs w:val="false"/>
                <w:color w:val="1F2933"/>
                <w:sz w:val="20"/>
                <w:szCs w:val="20"/>
              </w:rPr>
              <w:t xml:space="preserve">Firebase &amp; Mobile</w:t>
            </w:r>
          </w:p>
        </w:tc>
        <w:tc>
          <w:tcPr>
            <w:tcW w:type="dxa" w:w="6160"/>
            <w:tcBorders>
              <w:top w:val="single" w:color="D9DEE4" w:sz="4"/>
              <w:left w:val="single" w:color="D9DEE4" w:sz="4"/>
              <w:bottom w:val="single" w:color="D9DEE4" w:sz="4"/>
              <w:right w:val="single" w:color="D9DEE4" w:sz="4"/>
            </w:tcBorders>
            <w:shd w:fill="FFFFFF" w:color="auto" w:val="clear"/>
            <w:tcMar>
              <w:top w:type="dxa" w:w="80"/>
              <w:left w:type="dxa" w:w="130"/>
              <w:bottom w:type="dxa" w:w="80"/>
              <w:right w:type="dxa" w:w="130"/>
            </w:tcMar>
          </w:tcPr>
          <w:p>
            <w:pPr>
              <w:spacing w:after="0" w:line="264"/>
            </w:pPr>
            <w:r>
              <w:rPr>
                <w:rFonts w:ascii="Calibri" w:cs="Calibri" w:eastAsia="Calibri" w:hAnsi="Calibri"/>
                <w:b w:val="false"/>
                <w:bCs w:val="false"/>
                <w:i w:val="false"/>
                <w:iCs w:val="false"/>
                <w:color w:val="1F2933"/>
                <w:sz w:val="20"/>
                <w:szCs w:val="20"/>
              </w:rPr>
              <w:t xml:space="preserve">Firebase (project association check)</w:t>
            </w:r>
          </w:p>
        </w:tc>
      </w:tr>
    </w:tbl>
    <w:p>
      <w:pPr>
        <w:spacing w:after="60"/>
      </w:pPr>
    </w:p>
    <w:p>
      <w:pPr>
        <w:spacing w:after="140" w:before="0" w:line="276"/>
        <w:jc w:val="left"/>
      </w:pPr>
      <w:r>
        <w:rPr>
          <w:rFonts w:ascii="Calibri" w:cs="Calibri" w:eastAsia="Calibri" w:hAnsi="Calibri"/>
          <w:b w:val="false"/>
          <w:bCs w:val="false"/>
          <w:i/>
          <w:iCs/>
          <w:caps w:val="false"/>
          <w:color w:val="6B7280"/>
          <w:sz w:val="18"/>
          <w:szCs w:val="18"/>
        </w:rPr>
        <w:t xml:space="preserve">Beyond these deep checks, every enabled API is discovered, grouped into a category, and shown — so the report is a full inventory, not just the deep-checked subset. Baseline Google APIs are tagged rather than hidden, so nothing silently disappears.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4" w:sz="4"/>
      </w:pBdr>
      <w:spacing w:before="40"/>
      <w:jc w:val="center"/>
    </w:pPr>
    <w:r>
      <w:rPr>
        <w:rFonts w:ascii="Calibri" w:cs="Calibri" w:eastAsia="Calibri" w:hAnsi="Calibri"/>
        <w:color w:val="6B7280"/>
        <w:sz w:val="16"/>
        <w:szCs w:val="16"/>
      </w:rPr>
      <w:t xml:space="preserve">Zero-Cost GCP Resource Inventory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4"/>
      </w:pBdr>
      <w:spacing w:after="0"/>
      <w:jc w:val="right"/>
    </w:pPr>
    <w:r>
      <w:rPr>
        <w:rFonts w:ascii="Calibri" w:cs="Calibri" w:eastAsia="Calibri" w:hAnsi="Calibri"/>
        <w:caps/>
        <w:color w:val="6B7280"/>
        <w:sz w:val="16"/>
        <w:szCs w:val="16"/>
      </w:rPr>
      <w:t xml:space="preserve">GCP Inventory — Cost Optimization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A73E8"/>
      </w:rPr>
    </w:lvl>
  </w:abstractNum>
  <w:abstractNum w:abstractNumId="3" w15:restartNumberingAfterBreak="0">
    <w:multiLevelType w:val="hybridMultilevel"/>
    <w:lvl w:ilvl="0" w15:tentative="1">
      <w:start w:val="1"/>
      <w:numFmt w:val="decimal"/>
      <w:lvlText w:val="%1."/>
      <w:lvlJc w:val="left"/>
      <w:pPr>
        <w:ind w:left="400" w:hanging="260"/>
      </w:pPr>
      <w:rPr>
        <w:b/>
        <w:bCs/>
        <w:color w:val="1A73E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Zero-Cost GCP Resource Inventory</dc:title>
  <dc:creator>DevOps Engineering Team</dc:creator>
  <dc:description>A cost-neutral alternative to Cloud Asset Inventory and Security Command Center Premium</dc:description>
  <cp:lastModifiedBy>Un-named</cp:lastModifiedBy>
  <cp:revision>1</cp:revision>
  <dcterms:created xsi:type="dcterms:W3CDTF">2026-07-10T13:20:15.154Z</dcterms:created>
  <dcterms:modified xsi:type="dcterms:W3CDTF">2026-07-10T13:20:15.154Z</dcterms:modified>
</cp:coreProperties>
</file>

<file path=docProps/custom.xml><?xml version="1.0" encoding="utf-8"?>
<Properties xmlns="http://schemas.openxmlformats.org/officeDocument/2006/custom-properties" xmlns:vt="http://schemas.openxmlformats.org/officeDocument/2006/docPropsVTypes"/>
</file>