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232F3E" w:color="auto" w:val="clear"/>
            <w:tcMar>
              <w:top w:type="dxa" w:w="420"/>
              <w:left w:type="dxa" w:w="320"/>
              <w:bottom w:type="dxa" w:w="420"/>
              <w:right w:type="dxa" w:w="320"/>
            </w:tcMar>
          </w:tcPr>
          <w:p>
            <w:pPr>
              <w:spacing w:after="60"/>
            </w:pPr>
            <w:r>
              <w:rPr>
                <w:rFonts w:ascii="Calibri" w:cs="Calibri" w:eastAsia="Calibri" w:hAnsi="Calibri"/>
                <w:b/>
                <w:bCs/>
                <w:caps/>
                <w:color w:val="FF9900"/>
                <w:sz w:val="22"/>
                <w:szCs w:val="22"/>
              </w:rPr>
              <w:t xml:space="preserve">Cloud Cost Optimization Proposal</w:t>
            </w:r>
          </w:p>
          <w:p>
            <w:pPr>
              <w:spacing w:after="0" w:line="300"/>
            </w:pPr>
            <w:r>
              <w:rPr>
                <w:rFonts w:ascii="Calibri" w:cs="Calibri" w:eastAsia="Calibri" w:hAnsi="Calibri"/>
                <w:b/>
                <w:bCs/>
                <w:color w:val="FFFFFF"/>
                <w:sz w:val="44"/>
                <w:szCs w:val="44"/>
              </w:rPr>
              <w:t xml:space="preserve">Zero-Cost AWS Resource Inventory</w:t>
            </w:r>
          </w:p>
        </w:tc>
      </w:tr>
    </w:tbl>
    <w:p>
      <w:pPr>
        <w:spacing w:after="200"/>
      </w:pPr>
    </w:p>
    <w:p>
      <w:pPr>
        <w:spacing w:after="300" w:line="300"/>
      </w:pPr>
      <w:r>
        <w:rPr>
          <w:rFonts w:ascii="Calibri" w:cs="Calibri" w:eastAsia="Calibri" w:hAnsi="Calibri"/>
          <w:i/>
          <w:iCs/>
          <w:color w:val="6B7280"/>
          <w:sz w:val="26"/>
          <w:szCs w:val="26"/>
        </w:rPr>
        <w:t xml:space="preserve">A cost-neutral alternative to AWS Config and managed inventory services</w:t>
      </w:r>
    </w:p>
    <w:p>
      <w:pPr>
        <w:spacing w:after="2600"/>
      </w:pPr>
    </w:p>
    <w:p>
      <w:pPr>
        <w:pBdr>
          <w:top w:val="single" w:color="EC7211" w:sz="10"/>
        </w:pBdr>
        <w:spacing w:after="120" w:before="40"/>
      </w:pPr>
    </w:p>
    <w:p>
      <w:pPr>
        <w:tabs>
          <w:tab w:val="left" w:pos="2200"/>
        </w:tabs>
        <w:spacing w:after="70"/>
      </w:pPr>
      <w:r>
        <w:rPr>
          <w:rFonts w:ascii="Calibri" w:cs="Calibri" w:eastAsia="Calibri" w:hAnsi="Calibri"/>
          <w:b/>
          <w:bCs/>
          <w:color w:val="EC7211"/>
          <w:sz w:val="18"/>
          <w:szCs w:val="18"/>
        </w:rPr>
        <w:t xml:space="preserve">PREPARED FOR</w:t>
      </w:r>
      <w:r>
        <w:rPr>
          <w:rFonts w:ascii="Calibri" w:cs="Calibri" w:eastAsia="Calibri" w:hAnsi="Calibri"/>
          <w:sz w:val="20"/>
          <w:szCs w:val="20"/>
        </w:rPr>
        <w:t xml:space="preserve">	</w:t>
      </w:r>
      <w:r>
        <w:rPr>
          <w:rFonts w:ascii="Calibri" w:cs="Calibri" w:eastAsia="Calibri" w:hAnsi="Calibri"/>
          <w:color w:val="1F2933"/>
          <w:sz w:val="21"/>
          <w:szCs w:val="21"/>
        </w:rPr>
        <w:t xml:space="preserve">Cloud Platform Leadership &amp; Finance</w:t>
      </w:r>
    </w:p>
    <w:p>
      <w:pPr>
        <w:tabs>
          <w:tab w:val="left" w:pos="2200"/>
        </w:tabs>
        <w:spacing w:after="70"/>
      </w:pPr>
      <w:r>
        <w:rPr>
          <w:rFonts w:ascii="Calibri" w:cs="Calibri" w:eastAsia="Calibri" w:hAnsi="Calibri"/>
          <w:b/>
          <w:bCs/>
          <w:color w:val="EC7211"/>
          <w:sz w:val="18"/>
          <w:szCs w:val="18"/>
        </w:rPr>
        <w:t xml:space="preserve">PREPARED BY</w:t>
      </w:r>
      <w:r>
        <w:rPr>
          <w:rFonts w:ascii="Calibri" w:cs="Calibri" w:eastAsia="Calibri" w:hAnsi="Calibri"/>
          <w:sz w:val="20"/>
          <w:szCs w:val="20"/>
        </w:rPr>
        <w:t xml:space="preserve">	</w:t>
      </w:r>
      <w:r>
        <w:rPr>
          <w:rFonts w:ascii="Calibri" w:cs="Calibri" w:eastAsia="Calibri" w:hAnsi="Calibri"/>
          <w:color w:val="1F2933"/>
          <w:sz w:val="21"/>
          <w:szCs w:val="21"/>
        </w:rPr>
        <w:t xml:space="preserve">DevOps Engineering Team</w:t>
      </w:r>
    </w:p>
    <w:p>
      <w:pPr>
        <w:tabs>
          <w:tab w:val="left" w:pos="2200"/>
        </w:tabs>
        <w:spacing w:after="70"/>
      </w:pPr>
      <w:r>
        <w:rPr>
          <w:rFonts w:ascii="Calibri" w:cs="Calibri" w:eastAsia="Calibri" w:hAnsi="Calibri"/>
          <w:b/>
          <w:bCs/>
          <w:color w:val="EC7211"/>
          <w:sz w:val="18"/>
          <w:szCs w:val="18"/>
        </w:rPr>
        <w:t xml:space="preserve">DATE</w:t>
      </w:r>
      <w:r>
        <w:rPr>
          <w:rFonts w:ascii="Calibri" w:cs="Calibri" w:eastAsia="Calibri" w:hAnsi="Calibri"/>
          <w:sz w:val="20"/>
          <w:szCs w:val="20"/>
        </w:rPr>
        <w:t xml:space="preserve">	</w:t>
      </w:r>
      <w:r>
        <w:rPr>
          <w:rFonts w:ascii="Calibri" w:cs="Calibri" w:eastAsia="Calibri" w:hAnsi="Calibri"/>
          <w:color w:val="1F2933"/>
          <w:sz w:val="21"/>
          <w:szCs w:val="21"/>
        </w:rPr>
        <w:t xml:space="preserve">July 2026</w:t>
      </w:r>
    </w:p>
    <w:p>
      <w:pPr>
        <w:tabs>
          <w:tab w:val="left" w:pos="2200"/>
        </w:tabs>
        <w:spacing w:after="70"/>
      </w:pPr>
      <w:r>
        <w:rPr>
          <w:rFonts w:ascii="Calibri" w:cs="Calibri" w:eastAsia="Calibri" w:hAnsi="Calibri"/>
          <w:b/>
          <w:bCs/>
          <w:color w:val="EC7211"/>
          <w:sz w:val="18"/>
          <w:szCs w:val="18"/>
        </w:rPr>
        <w:t xml:space="preserve">VERSION</w:t>
      </w:r>
      <w:r>
        <w:rPr>
          <w:rFonts w:ascii="Calibri" w:cs="Calibri" w:eastAsia="Calibri" w:hAnsi="Calibri"/>
          <w:sz w:val="20"/>
          <w:szCs w:val="20"/>
        </w:rPr>
        <w:t xml:space="preserve">	</w:t>
      </w:r>
      <w:r>
        <w:rPr>
          <w:rFonts w:ascii="Calibri" w:cs="Calibri" w:eastAsia="Calibri" w:hAnsi="Calibri"/>
          <w:color w:val="1F2933"/>
          <w:sz w:val="21"/>
          <w:szCs w:val="21"/>
        </w:rPr>
        <w:t xml:space="preserve">1.0</w:t>
      </w:r>
    </w:p>
    <w:p>
      <w:pPr>
        <w:tabs>
          <w:tab w:val="left" w:pos="2200"/>
        </w:tabs>
        <w:spacing w:after="70"/>
      </w:pPr>
      <w:r>
        <w:rPr>
          <w:rFonts w:ascii="Calibri" w:cs="Calibri" w:eastAsia="Calibri" w:hAnsi="Calibri"/>
          <w:b/>
          <w:bCs/>
          <w:color w:val="EC7211"/>
          <w:sz w:val="18"/>
          <w:szCs w:val="18"/>
        </w:rPr>
        <w:t xml:space="preserve">CLASSIFICATION</w:t>
      </w:r>
      <w:r>
        <w:rPr>
          <w:rFonts w:ascii="Calibri" w:cs="Calibri" w:eastAsia="Calibri" w:hAnsi="Calibri"/>
          <w:sz w:val="20"/>
          <w:szCs w:val="20"/>
        </w:rPr>
        <w:t xml:space="preserve">	</w:t>
      </w:r>
      <w:r>
        <w:rPr>
          <w:rFonts w:ascii="Calibri" w:cs="Calibri" w:eastAsia="Calibri" w:hAnsi="Calibri"/>
          <w:color w:val="1F2933"/>
          <w:sz w:val="21"/>
          <w:szCs w:val="21"/>
        </w:rPr>
        <w:t xml:space="preserve">Internal — Cost Optimization &amp; Cloud Governance</w:t>
      </w:r>
    </w:p>
    <w:p>
      <w:r>
        <w:br w:type="page"/>
      </w:r>
    </w:p>
    <w:p>
      <w:pPr>
        <w:pStyle w:val="Heading1"/>
        <w:keepNext/>
        <w:pBdr>
          <w:bottom w:val="single" w:color="EC7211" w:sz="10"/>
        </w:pBdr>
        <w:spacing w:after="120" w:before="320"/>
      </w:pPr>
      <w:r>
        <w:rPr>
          <w:rFonts w:ascii="Calibri" w:cs="Calibri" w:eastAsia="Calibri" w:hAnsi="Calibri"/>
          <w:b/>
          <w:bCs/>
          <w:color w:val="232F3E"/>
          <w:sz w:val="30"/>
          <w:szCs w:val="30"/>
        </w:rPr>
        <w:t xml:space="preserve">Executive Summary</w:t>
      </w:r>
    </w:p>
    <w:p>
      <w:pPr>
        <w:spacing w:after="140" w:before="0" w:line="276"/>
        <w:jc w:val="left"/>
      </w:pPr>
      <w:r>
        <w:rPr>
          <w:rFonts w:ascii="Calibri" w:cs="Calibri" w:eastAsia="Calibri" w:hAnsi="Calibri"/>
          <w:b w:val="false"/>
          <w:bCs w:val="false"/>
          <w:i w:val="false"/>
          <w:iCs w:val="false"/>
          <w:caps w:val="false"/>
          <w:color w:val="1F2933"/>
          <w:sz w:val="21"/>
          <w:szCs w:val="21"/>
        </w:rPr>
        <w:t xml:space="preserve">The organization needs reliable visibility into which AWS services are actually in use, and in which regions, to support cost governance, security reviews, and audit readiness. The standard route to this visibility — AWS Config with continuous recording — bills per configuration item and per rule evaluation, so its cost scales with every resource and every region we operate in. For an inventory-and-visibility use case, that recurring charge is avoidable.</w:t>
      </w:r>
    </w:p>
    <w:p>
      <w:pPr>
        <w:spacing w:after="140" w:before="0" w:line="276"/>
        <w:jc w:val="left"/>
      </w:pPr>
      <w:r>
        <w:rPr>
          <w:rFonts w:ascii="Calibri" w:cs="Calibri" w:eastAsia="Calibri" w:hAnsi="Calibri"/>
          <w:b w:val="false"/>
          <w:bCs w:val="false"/>
          <w:i w:val="false"/>
          <w:iCs w:val="false"/>
          <w:caps w:val="false"/>
          <w:color w:val="1F2933"/>
          <w:sz w:val="21"/>
          <w:szCs w:val="21"/>
        </w:rPr>
        <w:t xml:space="preserve">This proposal recommends adopting aws_inventory_scan.sh: a lightweight, read-only scanning tool the DevOps team already maintains. It uses nothing but standard AWS CLI list/describe calls that are already covered by our existing read-only IAM permissions, and produces a polished, self-contained HTML dashboard that anyone can open in a browser. It enables no paid managed services and stores no data in AWS, so it adds no incremental cloud spend.</w:t>
      </w:r>
    </w:p>
    <w:p>
      <w:pPr>
        <w:spacing w:after="140" w:before="0" w:line="276"/>
        <w:jc w:val="left"/>
      </w:pPr>
      <w:r>
        <w:rPr>
          <w:rFonts w:ascii="Calibri" w:cs="Calibri" w:eastAsia="Calibri" w:hAnsi="Calibri"/>
          <w:b w:val="false"/>
          <w:bCs w:val="false"/>
          <w:i w:val="false"/>
          <w:iCs w:val="false"/>
          <w:caps w:val="false"/>
          <w:color w:val="1F2933"/>
          <w:sz w:val="21"/>
          <w:szCs w:val="21"/>
        </w:rPr>
        <w:t xml:space="preserve">In short, we can obtain the inventory visibility we need today, on demand, at essentially zero marginal cost.</w:t>
      </w:r>
    </w:p>
    <w:p>
      <w:pPr>
        <w:spacing w:after="60"/>
      </w:pPr>
    </w:p>
    <w:tbl>
      <w:tblPr>
        <w:tblW w:type="dxa" w:w="9360"/>
        <w:tblBorders>
          <w:top w:val="single" w:color="EC7211" w:sz="4"/>
          <w:left w:val="single" w:color="EC7211" w:sz="24"/>
          <w:bottom w:val="single" w:color="EC7211" w:sz="4"/>
          <w:right w:val="single" w:color="EC7211" w:sz="4"/>
          <w:insideH w:val="none" w:color="FFFFFF" w:sz="0"/>
          <w:insideV w:val="none" w:color="FFFFFF" w:sz="0"/>
        </w:tblBorders>
      </w:tblPr>
      <w:tblGrid>
        <w:gridCol w:w="9360"/>
      </w:tblGrid>
      <w:tr>
        <w:tc>
          <w:tcPr>
            <w:tcW w:type="dxa" w:w="9360"/>
            <w:shd w:fill="FCE9D9" w:color="auto" w:val="clear"/>
            <w:tcMar>
              <w:top w:type="dxa" w:w="140"/>
              <w:left w:type="dxa" w:w="200"/>
              <w:bottom w:type="dxa" w:w="140"/>
              <w:right w:type="dxa" w:w="200"/>
            </w:tcMar>
          </w:tcPr>
          <w:p>
            <w:pPr>
              <w:spacing w:after="60"/>
            </w:pPr>
            <w:r>
              <w:rPr>
                <w:rFonts w:ascii="Calibri" w:cs="Calibri" w:eastAsia="Calibri" w:hAnsi="Calibri"/>
                <w:b/>
                <w:bCs/>
                <w:caps/>
                <w:color w:val="232F3E"/>
                <w:sz w:val="22"/>
                <w:szCs w:val="22"/>
              </w:rPr>
              <w:t xml:space="preserve">Bottom line</w:t>
            </w:r>
          </w:p>
          <w:p>
            <w:pPr>
              <w:spacing w:after="60" w:line="276"/>
            </w:pPr>
            <w:r>
              <w:rPr>
                <w:rFonts w:ascii="Calibri" w:cs="Calibri" w:eastAsia="Calibri" w:hAnsi="Calibri"/>
                <w:color w:val="1F2933"/>
                <w:sz w:val="21"/>
                <w:szCs w:val="21"/>
              </w:rPr>
              <w:t xml:space="preserve">We get deep, region-aware inventory visibility with no new managed-service charges,</w:t>
            </w:r>
          </w:p>
          <w:p>
            <w:pPr>
              <w:spacing w:after="0" w:line="276"/>
            </w:pPr>
            <w:r>
              <w:rPr>
                <w:rFonts w:ascii="Calibri" w:cs="Calibri" w:eastAsia="Calibri" w:hAnsi="Calibri"/>
                <w:color w:val="1F2933"/>
                <w:sz w:val="21"/>
                <w:szCs w:val="21"/>
              </w:rPr>
              <w:t xml:space="preserve">using read-only permissions we already grant, and a report we can run anytime — in a terminal or in CI.</w:t>
            </w:r>
          </w:p>
        </w:tc>
      </w:tr>
    </w:tbl>
    <w:p>
      <w:pPr>
        <w:spacing w:after="80"/>
      </w:pPr>
    </w:p>
    <w:p>
      <w:pPr>
        <w:pStyle w:val="Heading1"/>
        <w:keepNext/>
        <w:pBdr>
          <w:bottom w:val="single" w:color="EC7211" w:sz="10"/>
        </w:pBdr>
        <w:spacing w:after="120" w:before="320"/>
      </w:pPr>
      <w:r>
        <w:rPr>
          <w:rFonts w:ascii="Calibri" w:cs="Calibri" w:eastAsia="Calibri" w:hAnsi="Calibri"/>
          <w:b/>
          <w:bCs/>
          <w:color w:val="232F3E"/>
          <w:sz w:val="30"/>
          <w:szCs w:val="30"/>
        </w:rPr>
        <w:t xml:space="preserve">1. The Business Need</w:t>
      </w:r>
    </w:p>
    <w:p>
      <w:pPr>
        <w:spacing w:after="140" w:before="0" w:line="276"/>
        <w:jc w:val="left"/>
      </w:pPr>
      <w:r>
        <w:rPr>
          <w:rFonts w:ascii="Calibri" w:cs="Calibri" w:eastAsia="Calibri" w:hAnsi="Calibri"/>
          <w:b w:val="false"/>
          <w:bCs w:val="false"/>
          <w:i w:val="false"/>
          <w:iCs w:val="false"/>
          <w:caps w:val="false"/>
          <w:color w:val="1F2933"/>
          <w:sz w:val="21"/>
          <w:szCs w:val="21"/>
        </w:rPr>
        <w:t xml:space="preserve">Several teams increasingly need a trustworthy answer to a simple question: what are we actually running, and where? That single view underpins a number of recurring business activities:</w:t>
      </w:r>
    </w:p>
    <w:p>
      <w:pPr>
        <w:pStyle w:val="ListParagraph"/>
        <w:numPr>
          <w:ilvl w:val="0"/>
          <w:numId w:val="2"/>
        </w:numPr>
        <w:spacing w:after="80" w:line="276"/>
      </w:pPr>
      <w:r>
        <w:rPr>
          <w:rFonts w:ascii="Calibri" w:cs="Calibri" w:eastAsia="Calibri" w:hAnsi="Calibri"/>
          <w:color w:val="1F2933"/>
          <w:sz w:val="21"/>
          <w:szCs w:val="21"/>
        </w:rPr>
        <w:t xml:space="preserve">Cost governance — spotting active resources, idle footprints, and unexpected regional sprawl.</w:t>
      </w:r>
    </w:p>
    <w:p>
      <w:pPr>
        <w:pStyle w:val="ListParagraph"/>
        <w:numPr>
          <w:ilvl w:val="0"/>
          <w:numId w:val="2"/>
        </w:numPr>
        <w:spacing w:after="80" w:line="276"/>
      </w:pPr>
      <w:r>
        <w:rPr>
          <w:rFonts w:ascii="Calibri" w:cs="Calibri" w:eastAsia="Calibri" w:hAnsi="Calibri"/>
          <w:color w:val="1F2933"/>
          <w:sz w:val="21"/>
          <w:szCs w:val="21"/>
        </w:rPr>
        <w:t xml:space="preserve">Security &amp; audit — evidencing which services hold resources when responding to reviews and questionnaires.</w:t>
      </w:r>
    </w:p>
    <w:p>
      <w:pPr>
        <w:pStyle w:val="ListParagraph"/>
        <w:numPr>
          <w:ilvl w:val="0"/>
          <w:numId w:val="2"/>
        </w:numPr>
        <w:spacing w:after="80" w:line="276"/>
      </w:pPr>
      <w:r>
        <w:rPr>
          <w:rFonts w:ascii="Calibri" w:cs="Calibri" w:eastAsia="Calibri" w:hAnsi="Calibri"/>
          <w:color w:val="1F2933"/>
          <w:sz w:val="21"/>
          <w:szCs w:val="21"/>
        </w:rPr>
        <w:t xml:space="preserve">Cloud housekeeping — identifying orphaned or forgotten resources that quietly accrue charges.</w:t>
      </w:r>
    </w:p>
    <w:p>
      <w:pPr>
        <w:pStyle w:val="ListParagraph"/>
        <w:numPr>
          <w:ilvl w:val="0"/>
          <w:numId w:val="2"/>
        </w:numPr>
        <w:spacing w:after="80" w:line="276"/>
      </w:pPr>
      <w:r>
        <w:rPr>
          <w:rFonts w:ascii="Calibri" w:cs="Calibri" w:eastAsia="Calibri" w:hAnsi="Calibri"/>
          <w:color w:val="1F2933"/>
          <w:sz w:val="21"/>
          <w:szCs w:val="21"/>
        </w:rPr>
        <w:t xml:space="preserve">Onboarding &amp; handover — giving new engineers and leadership a fast, readable map of the estate.</w:t>
      </w:r>
    </w:p>
    <w:p>
      <w:pPr>
        <w:pStyle w:val="Heading1"/>
        <w:keepNext/>
        <w:pBdr>
          <w:bottom w:val="single" w:color="EC7211" w:sz="10"/>
        </w:pBdr>
        <w:spacing w:after="120" w:before="320"/>
      </w:pPr>
      <w:r>
        <w:rPr>
          <w:rFonts w:ascii="Calibri" w:cs="Calibri" w:eastAsia="Calibri" w:hAnsi="Calibri"/>
          <w:b/>
          <w:bCs/>
          <w:color w:val="232F3E"/>
          <w:sz w:val="30"/>
          <w:szCs w:val="30"/>
        </w:rPr>
        <w:t xml:space="preserve">2. The Cost of the Native Approach</w:t>
      </w:r>
    </w:p>
    <w:p>
      <w:pPr>
        <w:spacing w:after="140" w:before="0" w:line="276"/>
        <w:jc w:val="left"/>
      </w:pPr>
      <w:r>
        <w:rPr>
          <w:rFonts w:ascii="Calibri" w:cs="Calibri" w:eastAsia="Calibri" w:hAnsi="Calibri"/>
          <w:b w:val="false"/>
          <w:bCs w:val="false"/>
          <w:i w:val="false"/>
          <w:iCs w:val="false"/>
          <w:caps w:val="false"/>
          <w:color w:val="1F2933"/>
          <w:sz w:val="21"/>
          <w:szCs w:val="21"/>
        </w:rPr>
        <w:t xml:space="preserve">The managed-service path to this visibility carries recurring, usage-based charges. The table below summarizes the main cost drivers we would take on. Figures are directional; actual amounts depend on account size, resource count, and the number of regions and rules enabled.</w:t>
      </w:r>
    </w:p>
    <w:p>
      <w:pPr>
        <w:spacing w:after="40"/>
      </w:pPr>
    </w:p>
    <w:tbl>
      <w:tblPr>
        <w:tblW w:type="dxa" w:w="9360"/>
        <w:tblBorders>
          <w:top w:val="single" w:color="D9DEE4" w:sz="4"/>
          <w:left w:val="single" w:color="D9DEE4" w:sz="4"/>
          <w:bottom w:val="single" w:color="D9DEE4" w:sz="4"/>
          <w:right w:val="single" w:color="D9DEE4" w:sz="4"/>
          <w:insideH w:val="single" w:color="D9DEE4" w:sz="4"/>
          <w:insideV w:val="single" w:color="D9DEE4" w:sz="4"/>
        </w:tblBorders>
      </w:tblPr>
      <w:tblGrid>
        <w:gridCol w:w="3100"/>
        <w:gridCol w:w="3960"/>
        <w:gridCol w:w="2300"/>
      </w:tblGrid>
      <w:tr>
        <w:trPr>
          <w:tblHeader/>
        </w:trPr>
        <w:tc>
          <w:tcPr>
            <w:tcW w:type="dxa" w:w="3100"/>
            <w:tcBorders>
              <w:top w:val="single" w:color="232F3E" w:sz="4"/>
              <w:left w:val="single" w:color="232F3E" w:sz="4"/>
              <w:bottom w:val="single" w:color="232F3E" w:sz="4"/>
              <w:right w:val="single" w:color="232F3E" w:sz="4"/>
            </w:tcBorders>
            <w:shd w:fill="232F3E" w:color="auto" w:val="clear"/>
            <w:tcMar>
              <w:top w:type="dxa" w:w="90"/>
              <w:left w:type="dxa" w:w="130"/>
              <w:bottom w:type="dxa" w:w="90"/>
              <w:right w:type="dxa" w:w="130"/>
            </w:tcMar>
          </w:tcPr>
          <w:p>
            <w:pPr>
              <w:spacing w:after="0" w:line="252"/>
            </w:pPr>
            <w:r>
              <w:rPr>
                <w:rFonts w:ascii="Calibri" w:cs="Calibri" w:eastAsia="Calibri" w:hAnsi="Calibri"/>
                <w:b/>
                <w:bCs/>
                <w:color w:val="FFFFFF"/>
                <w:sz w:val="20"/>
                <w:szCs w:val="20"/>
              </w:rPr>
              <w:t xml:space="preserve">Native service / tool</w:t>
            </w:r>
          </w:p>
        </w:tc>
        <w:tc>
          <w:tcPr>
            <w:tcW w:type="dxa" w:w="3960"/>
            <w:tcBorders>
              <w:top w:val="single" w:color="232F3E" w:sz="4"/>
              <w:left w:val="single" w:color="232F3E" w:sz="4"/>
              <w:bottom w:val="single" w:color="232F3E" w:sz="4"/>
              <w:right w:val="single" w:color="232F3E" w:sz="4"/>
            </w:tcBorders>
            <w:shd w:fill="232F3E" w:color="auto" w:val="clear"/>
            <w:tcMar>
              <w:top w:type="dxa" w:w="90"/>
              <w:left w:type="dxa" w:w="130"/>
              <w:bottom w:type="dxa" w:w="90"/>
              <w:right w:type="dxa" w:w="130"/>
            </w:tcMar>
          </w:tcPr>
          <w:p>
            <w:pPr>
              <w:spacing w:after="0" w:line="252"/>
            </w:pPr>
            <w:r>
              <w:rPr>
                <w:rFonts w:ascii="Calibri" w:cs="Calibri" w:eastAsia="Calibri" w:hAnsi="Calibri"/>
                <w:b/>
                <w:bCs/>
                <w:color w:val="FFFFFF"/>
                <w:sz w:val="20"/>
                <w:szCs w:val="20"/>
              </w:rPr>
              <w:t xml:space="preserve">How it bills</w:t>
            </w:r>
          </w:p>
        </w:tc>
        <w:tc>
          <w:tcPr>
            <w:tcW w:type="dxa" w:w="2300"/>
            <w:tcBorders>
              <w:top w:val="single" w:color="232F3E" w:sz="4"/>
              <w:left w:val="single" w:color="232F3E" w:sz="4"/>
              <w:bottom w:val="single" w:color="232F3E" w:sz="4"/>
              <w:right w:val="single" w:color="232F3E" w:sz="4"/>
            </w:tcBorders>
            <w:shd w:fill="232F3E" w:color="auto" w:val="clear"/>
            <w:tcMar>
              <w:top w:type="dxa" w:w="90"/>
              <w:left w:type="dxa" w:w="130"/>
              <w:bottom w:type="dxa" w:w="90"/>
              <w:right w:type="dxa" w:w="130"/>
            </w:tcMar>
          </w:tcPr>
          <w:p>
            <w:pPr>
              <w:spacing w:after="0" w:line="252"/>
            </w:pPr>
            <w:r>
              <w:rPr>
                <w:rFonts w:ascii="Calibri" w:cs="Calibri" w:eastAsia="Calibri" w:hAnsi="Calibri"/>
                <w:b/>
                <w:bCs/>
                <w:color w:val="FFFFFF"/>
                <w:sz w:val="20"/>
                <w:szCs w:val="20"/>
              </w:rPr>
              <w:t xml:space="preserve">Cost pressure</w:t>
            </w:r>
          </w:p>
        </w:tc>
      </w:tr>
      <w:tr>
        <w:tc>
          <w:tcPr>
            <w:tcW w:type="dxa" w:w="3100"/>
            <w:tcBorders>
              <w:top w:val="single" w:color="D9DEE4" w:sz="4"/>
              <w:left w:val="single" w:color="D9DEE4" w:sz="4"/>
              <w:bottom w:val="single" w:color="D9DEE4" w:sz="4"/>
              <w:right w:val="single" w:color="D9DEE4" w:sz="4"/>
            </w:tcBorders>
            <w:shd w:fill="FFFFFF" w:color="auto" w:val="clear"/>
            <w:tcMar>
              <w:top w:type="dxa" w:w="80"/>
              <w:left w:type="dxa" w:w="130"/>
              <w:bottom w:type="dxa" w:w="80"/>
              <w:right w:type="dxa" w:w="130"/>
            </w:tcMar>
          </w:tcPr>
          <w:p>
            <w:pPr>
              <w:spacing w:after="0" w:line="264"/>
            </w:pPr>
            <w:r>
              <w:rPr>
                <w:rFonts w:ascii="Calibri" w:cs="Calibri" w:eastAsia="Calibri" w:hAnsi="Calibri"/>
                <w:b/>
                <w:bCs/>
                <w:i w:val="false"/>
                <w:iCs w:val="false"/>
                <w:color w:val="1F2933"/>
                <w:sz w:val="20"/>
                <w:szCs w:val="20"/>
              </w:rPr>
              <w:t xml:space="preserve">AWS Config</w:t>
            </w:r>
          </w:p>
        </w:tc>
        <w:tc>
          <w:tcPr>
            <w:tcW w:type="dxa" w:w="3960"/>
            <w:tcBorders>
              <w:top w:val="single" w:color="D9DEE4" w:sz="4"/>
              <w:left w:val="single" w:color="D9DEE4" w:sz="4"/>
              <w:bottom w:val="single" w:color="D9DEE4" w:sz="4"/>
              <w:right w:val="single" w:color="D9DEE4" w:sz="4"/>
            </w:tcBorders>
            <w:shd w:fill="FFFFFF" w:color="auto" w:val="clear"/>
            <w:tcMar>
              <w:top w:type="dxa" w:w="80"/>
              <w:left w:type="dxa" w:w="130"/>
              <w:bottom w:type="dxa" w:w="80"/>
              <w:right w:type="dxa" w:w="130"/>
            </w:tcMar>
          </w:tcPr>
          <w:p>
            <w:pPr>
              <w:spacing w:after="0" w:line="264"/>
            </w:pPr>
            <w:r>
              <w:rPr>
                <w:rFonts w:ascii="Calibri" w:cs="Calibri" w:eastAsia="Calibri" w:hAnsi="Calibri"/>
                <w:b w:val="false"/>
                <w:bCs w:val="false"/>
                <w:i w:val="false"/>
                <w:iCs w:val="false"/>
                <w:color w:val="1F2933"/>
                <w:sz w:val="20"/>
                <w:szCs w:val="20"/>
              </w:rPr>
              <w:t xml:space="preserve">Per configuration item recorded, plus per rule evaluation, billed continuously per region.</w:t>
            </w:r>
          </w:p>
        </w:tc>
        <w:tc>
          <w:tcPr>
            <w:tcW w:type="dxa" w:w="2300"/>
            <w:tcBorders>
              <w:top w:val="single" w:color="D9DEE4" w:sz="4"/>
              <w:left w:val="single" w:color="D9DEE4" w:sz="4"/>
              <w:bottom w:val="single" w:color="D9DEE4" w:sz="4"/>
              <w:right w:val="single" w:color="D9DEE4" w:sz="4"/>
            </w:tcBorders>
            <w:shd w:fill="FFFFFF" w:color="auto" w:val="clear"/>
            <w:tcMar>
              <w:top w:type="dxa" w:w="80"/>
              <w:left w:type="dxa" w:w="130"/>
              <w:bottom w:type="dxa" w:w="80"/>
              <w:right w:type="dxa" w:w="130"/>
            </w:tcMar>
          </w:tcPr>
          <w:p>
            <w:pPr>
              <w:spacing w:after="0" w:line="264"/>
            </w:pPr>
            <w:r>
              <w:rPr>
                <w:rFonts w:ascii="Calibri" w:cs="Calibri" w:eastAsia="Calibri" w:hAnsi="Calibri"/>
                <w:b w:val="false"/>
                <w:bCs w:val="false"/>
                <w:i w:val="false"/>
                <w:iCs w:val="false"/>
                <w:color w:val="1F2933"/>
                <w:sz w:val="20"/>
                <w:szCs w:val="20"/>
              </w:rPr>
              <w:t xml:space="preserve">Scales up with every resource and region — recurring and unbounded.</w:t>
            </w:r>
          </w:p>
        </w:tc>
      </w:tr>
      <w:tr>
        <w:tc>
          <w:tcPr>
            <w:tcW w:type="dxa" w:w="3100"/>
            <w:tcBorders>
              <w:top w:val="single" w:color="D9DEE4" w:sz="4"/>
              <w:left w:val="single" w:color="D9DEE4" w:sz="4"/>
              <w:bottom w:val="single" w:color="D9DEE4" w:sz="4"/>
              <w:right w:val="single" w:color="D9DEE4" w:sz="4"/>
            </w:tcBorders>
            <w:shd w:fill="F4F6F8" w:color="auto" w:val="clear"/>
            <w:tcMar>
              <w:top w:type="dxa" w:w="80"/>
              <w:left w:type="dxa" w:w="130"/>
              <w:bottom w:type="dxa" w:w="80"/>
              <w:right w:type="dxa" w:w="130"/>
            </w:tcMar>
          </w:tcPr>
          <w:p>
            <w:pPr>
              <w:spacing w:after="0" w:line="264"/>
            </w:pPr>
            <w:r>
              <w:rPr>
                <w:rFonts w:ascii="Calibri" w:cs="Calibri" w:eastAsia="Calibri" w:hAnsi="Calibri"/>
                <w:b/>
                <w:bCs/>
                <w:i w:val="false"/>
                <w:iCs w:val="false"/>
                <w:color w:val="1F2933"/>
                <w:sz w:val="20"/>
                <w:szCs w:val="20"/>
              </w:rPr>
              <w:t xml:space="preserve">Conformance packs / Config rules</w:t>
            </w:r>
          </w:p>
        </w:tc>
        <w:tc>
          <w:tcPr>
            <w:tcW w:type="dxa" w:w="3960"/>
            <w:tcBorders>
              <w:top w:val="single" w:color="D9DEE4" w:sz="4"/>
              <w:left w:val="single" w:color="D9DEE4" w:sz="4"/>
              <w:bottom w:val="single" w:color="D9DEE4" w:sz="4"/>
              <w:right w:val="single" w:color="D9DEE4" w:sz="4"/>
            </w:tcBorders>
            <w:shd w:fill="F4F6F8" w:color="auto" w:val="clear"/>
            <w:tcMar>
              <w:top w:type="dxa" w:w="80"/>
              <w:left w:type="dxa" w:w="130"/>
              <w:bottom w:type="dxa" w:w="80"/>
              <w:right w:type="dxa" w:w="130"/>
            </w:tcMar>
          </w:tcPr>
          <w:p>
            <w:pPr>
              <w:spacing w:after="0" w:line="264"/>
            </w:pPr>
            <w:r>
              <w:rPr>
                <w:rFonts w:ascii="Calibri" w:cs="Calibri" w:eastAsia="Calibri" w:hAnsi="Calibri"/>
                <w:b w:val="false"/>
                <w:bCs w:val="false"/>
                <w:i w:val="false"/>
                <w:iCs w:val="false"/>
                <w:color w:val="1F2933"/>
                <w:sz w:val="20"/>
                <w:szCs w:val="20"/>
              </w:rPr>
              <w:t xml:space="preserve">Per rule evaluation on top of item recording.</w:t>
            </w:r>
          </w:p>
        </w:tc>
        <w:tc>
          <w:tcPr>
            <w:tcW w:type="dxa" w:w="2300"/>
            <w:tcBorders>
              <w:top w:val="single" w:color="D9DEE4" w:sz="4"/>
              <w:left w:val="single" w:color="D9DEE4" w:sz="4"/>
              <w:bottom w:val="single" w:color="D9DEE4" w:sz="4"/>
              <w:right w:val="single" w:color="D9DEE4" w:sz="4"/>
            </w:tcBorders>
            <w:shd w:fill="F4F6F8" w:color="auto" w:val="clear"/>
            <w:tcMar>
              <w:top w:type="dxa" w:w="80"/>
              <w:left w:type="dxa" w:w="130"/>
              <w:bottom w:type="dxa" w:w="80"/>
              <w:right w:type="dxa" w:w="130"/>
            </w:tcMar>
          </w:tcPr>
          <w:p>
            <w:pPr>
              <w:spacing w:after="0" w:line="264"/>
            </w:pPr>
            <w:r>
              <w:rPr>
                <w:rFonts w:ascii="Calibri" w:cs="Calibri" w:eastAsia="Calibri" w:hAnsi="Calibri"/>
                <w:b w:val="false"/>
                <w:bCs w:val="false"/>
                <w:i w:val="false"/>
                <w:iCs w:val="false"/>
                <w:color w:val="1F2933"/>
                <w:sz w:val="20"/>
                <w:szCs w:val="20"/>
              </w:rPr>
              <w:t xml:space="preserve">Multiplies the base Config cost.</w:t>
            </w:r>
          </w:p>
        </w:tc>
      </w:tr>
      <w:tr>
        <w:tc>
          <w:tcPr>
            <w:tcW w:type="dxa" w:w="3100"/>
            <w:tcBorders>
              <w:top w:val="single" w:color="D9DEE4" w:sz="4"/>
              <w:left w:val="single" w:color="D9DEE4" w:sz="4"/>
              <w:bottom w:val="single" w:color="D9DEE4" w:sz="4"/>
              <w:right w:val="single" w:color="D9DEE4" w:sz="4"/>
            </w:tcBorders>
            <w:shd w:fill="FFFFFF" w:color="auto" w:val="clear"/>
            <w:tcMar>
              <w:top w:type="dxa" w:w="80"/>
              <w:left w:type="dxa" w:w="130"/>
              <w:bottom w:type="dxa" w:w="80"/>
              <w:right w:type="dxa" w:w="130"/>
            </w:tcMar>
          </w:tcPr>
          <w:p>
            <w:pPr>
              <w:spacing w:after="0" w:line="264"/>
            </w:pPr>
            <w:r>
              <w:rPr>
                <w:rFonts w:ascii="Calibri" w:cs="Calibri" w:eastAsia="Calibri" w:hAnsi="Calibri"/>
                <w:b/>
                <w:bCs/>
                <w:i w:val="false"/>
                <w:iCs w:val="false"/>
                <w:color w:val="1F2933"/>
                <w:sz w:val="20"/>
                <w:szCs w:val="20"/>
              </w:rPr>
              <w:t xml:space="preserve">CloudTrail data events</w:t>
            </w:r>
          </w:p>
        </w:tc>
        <w:tc>
          <w:tcPr>
            <w:tcW w:type="dxa" w:w="3960"/>
            <w:tcBorders>
              <w:top w:val="single" w:color="D9DEE4" w:sz="4"/>
              <w:left w:val="single" w:color="D9DEE4" w:sz="4"/>
              <w:bottom w:val="single" w:color="D9DEE4" w:sz="4"/>
              <w:right w:val="single" w:color="D9DEE4" w:sz="4"/>
            </w:tcBorders>
            <w:shd w:fill="FFFFFF" w:color="auto" w:val="clear"/>
            <w:tcMar>
              <w:top w:type="dxa" w:w="80"/>
              <w:left w:type="dxa" w:w="130"/>
              <w:bottom w:type="dxa" w:w="80"/>
              <w:right w:type="dxa" w:w="130"/>
            </w:tcMar>
          </w:tcPr>
          <w:p>
            <w:pPr>
              <w:spacing w:after="0" w:line="264"/>
            </w:pPr>
            <w:r>
              <w:rPr>
                <w:rFonts w:ascii="Calibri" w:cs="Calibri" w:eastAsia="Calibri" w:hAnsi="Calibri"/>
                <w:b w:val="false"/>
                <w:bCs w:val="false"/>
                <w:i w:val="false"/>
                <w:iCs w:val="false"/>
                <w:color w:val="1F2933"/>
                <w:sz w:val="20"/>
                <w:szCs w:val="20"/>
              </w:rPr>
              <w:t xml:space="preserve">Per event delivered for data-level logging.</w:t>
            </w:r>
          </w:p>
        </w:tc>
        <w:tc>
          <w:tcPr>
            <w:tcW w:type="dxa" w:w="2300"/>
            <w:tcBorders>
              <w:top w:val="single" w:color="D9DEE4" w:sz="4"/>
              <w:left w:val="single" w:color="D9DEE4" w:sz="4"/>
              <w:bottom w:val="single" w:color="D9DEE4" w:sz="4"/>
              <w:right w:val="single" w:color="D9DEE4" w:sz="4"/>
            </w:tcBorders>
            <w:shd w:fill="FFFFFF" w:color="auto" w:val="clear"/>
            <w:tcMar>
              <w:top w:type="dxa" w:w="80"/>
              <w:left w:type="dxa" w:w="130"/>
              <w:bottom w:type="dxa" w:w="80"/>
              <w:right w:type="dxa" w:w="130"/>
            </w:tcMar>
          </w:tcPr>
          <w:p>
            <w:pPr>
              <w:spacing w:after="0" w:line="264"/>
            </w:pPr>
            <w:r>
              <w:rPr>
                <w:rFonts w:ascii="Calibri" w:cs="Calibri" w:eastAsia="Calibri" w:hAnsi="Calibri"/>
                <w:b w:val="false"/>
                <w:bCs w:val="false"/>
                <w:i w:val="false"/>
                <w:iCs w:val="false"/>
                <w:color w:val="1F2933"/>
                <w:sz w:val="20"/>
                <w:szCs w:val="20"/>
              </w:rPr>
              <w:t xml:space="preserve">Grows with API activity volume.</w:t>
            </w:r>
          </w:p>
        </w:tc>
      </w:tr>
      <w:tr>
        <w:tc>
          <w:tcPr>
            <w:tcW w:type="dxa" w:w="3100"/>
            <w:tcBorders>
              <w:top w:val="single" w:color="D9DEE4" w:sz="4"/>
              <w:left w:val="single" w:color="D9DEE4" w:sz="4"/>
              <w:bottom w:val="single" w:color="D9DEE4" w:sz="4"/>
              <w:right w:val="single" w:color="D9DEE4" w:sz="4"/>
            </w:tcBorders>
            <w:shd w:fill="F4F6F8" w:color="auto" w:val="clear"/>
            <w:tcMar>
              <w:top w:type="dxa" w:w="80"/>
              <w:left w:type="dxa" w:w="130"/>
              <w:bottom w:type="dxa" w:w="80"/>
              <w:right w:type="dxa" w:w="130"/>
            </w:tcMar>
          </w:tcPr>
          <w:p>
            <w:pPr>
              <w:spacing w:after="0" w:line="264"/>
            </w:pPr>
            <w:r>
              <w:rPr>
                <w:rFonts w:ascii="Calibri" w:cs="Calibri" w:eastAsia="Calibri" w:hAnsi="Calibri"/>
                <w:b/>
                <w:bCs/>
                <w:i w:val="false"/>
                <w:iCs w:val="false"/>
                <w:color w:val="1F2933"/>
                <w:sz w:val="20"/>
                <w:szCs w:val="20"/>
              </w:rPr>
              <w:t xml:space="preserve">Third-party CSPM / CMDB</w:t>
            </w:r>
          </w:p>
        </w:tc>
        <w:tc>
          <w:tcPr>
            <w:tcW w:type="dxa" w:w="3960"/>
            <w:tcBorders>
              <w:top w:val="single" w:color="D9DEE4" w:sz="4"/>
              <w:left w:val="single" w:color="D9DEE4" w:sz="4"/>
              <w:bottom w:val="single" w:color="D9DEE4" w:sz="4"/>
              <w:right w:val="single" w:color="D9DEE4" w:sz="4"/>
            </w:tcBorders>
            <w:shd w:fill="F4F6F8" w:color="auto" w:val="clear"/>
            <w:tcMar>
              <w:top w:type="dxa" w:w="80"/>
              <w:left w:type="dxa" w:w="130"/>
              <w:bottom w:type="dxa" w:w="80"/>
              <w:right w:type="dxa" w:w="130"/>
            </w:tcMar>
          </w:tcPr>
          <w:p>
            <w:pPr>
              <w:spacing w:after="0" w:line="264"/>
            </w:pPr>
            <w:r>
              <w:rPr>
                <w:rFonts w:ascii="Calibri" w:cs="Calibri" w:eastAsia="Calibri" w:hAnsi="Calibri"/>
                <w:b w:val="false"/>
                <w:bCs w:val="false"/>
                <w:i w:val="false"/>
                <w:iCs w:val="false"/>
                <w:color w:val="1F2933"/>
                <w:sz w:val="20"/>
                <w:szCs w:val="20"/>
              </w:rPr>
              <w:t xml:space="preserve">Per-asset or per-seat licensing.</w:t>
            </w:r>
          </w:p>
        </w:tc>
        <w:tc>
          <w:tcPr>
            <w:tcW w:type="dxa" w:w="2300"/>
            <w:tcBorders>
              <w:top w:val="single" w:color="D9DEE4" w:sz="4"/>
              <w:left w:val="single" w:color="D9DEE4" w:sz="4"/>
              <w:bottom w:val="single" w:color="D9DEE4" w:sz="4"/>
              <w:right w:val="single" w:color="D9DEE4" w:sz="4"/>
            </w:tcBorders>
            <w:shd w:fill="F4F6F8" w:color="auto" w:val="clear"/>
            <w:tcMar>
              <w:top w:type="dxa" w:w="80"/>
              <w:left w:type="dxa" w:w="130"/>
              <w:bottom w:type="dxa" w:w="80"/>
              <w:right w:type="dxa" w:w="130"/>
            </w:tcMar>
          </w:tcPr>
          <w:p>
            <w:pPr>
              <w:spacing w:after="0" w:line="264"/>
            </w:pPr>
            <w:r>
              <w:rPr>
                <w:rFonts w:ascii="Calibri" w:cs="Calibri" w:eastAsia="Calibri" w:hAnsi="Calibri"/>
                <w:b w:val="false"/>
                <w:bCs w:val="false"/>
                <w:i w:val="false"/>
                <w:iCs w:val="false"/>
                <w:color w:val="1F2933"/>
                <w:sz w:val="20"/>
                <w:szCs w:val="20"/>
              </w:rPr>
              <w:t xml:space="preserve">Annual license commitment.</w:t>
            </w:r>
          </w:p>
        </w:tc>
      </w:tr>
    </w:tbl>
    <w:p>
      <w:pPr>
        <w:spacing w:after="40"/>
      </w:pPr>
    </w:p>
    <w:p>
      <w:pPr>
        <w:spacing w:after="140" w:before="0" w:line="276"/>
        <w:jc w:val="left"/>
      </w:pPr>
      <w:r>
        <w:rPr>
          <w:rFonts w:ascii="Calibri" w:cs="Calibri" w:eastAsia="Calibri" w:hAnsi="Calibri"/>
          <w:b w:val="false"/>
          <w:bCs w:val="false"/>
          <w:i/>
          <w:iCs/>
          <w:caps w:val="false"/>
          <w:color w:val="6B7280"/>
          <w:sz w:val="18"/>
          <w:szCs w:val="18"/>
        </w:rPr>
        <w:t xml:space="preserve">Note: management-level CloudTrail events and basic Resource Explorer indexing may be low- or no-cost, but continuous AWS Config recording is the dominant recurring charge for an always-on inventory posture — and the one this proposal avoids.</w:t>
      </w:r>
    </w:p>
    <w:p>
      <w:pPr>
        <w:pStyle w:val="Heading1"/>
        <w:keepNext/>
        <w:pBdr>
          <w:bottom w:val="single" w:color="EC7211" w:sz="10"/>
        </w:pBdr>
        <w:spacing w:after="120" w:before="320"/>
      </w:pPr>
      <w:r>
        <w:rPr>
          <w:rFonts w:ascii="Calibri" w:cs="Calibri" w:eastAsia="Calibri" w:hAnsi="Calibri"/>
          <w:b/>
          <w:bCs/>
          <w:color w:val="232F3E"/>
          <w:sz w:val="30"/>
          <w:szCs w:val="30"/>
        </w:rPr>
        <w:t xml:space="preserve">3. The Proposed Alternative</w:t>
      </w:r>
    </w:p>
    <w:p>
      <w:pPr>
        <w:spacing w:after="140" w:before="0" w:line="276"/>
        <w:jc w:val="left"/>
      </w:pPr>
      <w:r>
        <w:rPr>
          <w:rFonts w:ascii="Calibri" w:cs="Calibri" w:eastAsia="Calibri" w:hAnsi="Calibri"/>
          <w:b w:val="false"/>
          <w:bCs w:val="false"/>
          <w:i w:val="false"/>
          <w:iCs w:val="false"/>
          <w:caps w:val="false"/>
          <w:color w:val="1F2933"/>
          <w:sz w:val="21"/>
          <w:szCs w:val="21"/>
        </w:rPr>
        <w:t xml:space="preserve">aws_inventory_scan.sh performs a deep, read-only inventory of an AWS account without AWS Config, CloudTrail, or Resource Explorer. It identifies the calling account, walks the target regions, and runs targeted checks to confirm whether high-value services actually have resources deployed. It then classifies each service as Active or Empty and writes a single, self-contained HTML dashboard — with dark mode, tabbed navigation per region, a key-metrics grid, and per-region and per-category rollups.</w:t>
      </w:r>
    </w:p>
    <w:p>
      <w:pPr>
        <w:spacing w:after="140" w:before="0" w:line="276"/>
        <w:jc w:val="left"/>
      </w:pPr>
      <w:r>
        <w:rPr>
          <w:rFonts w:ascii="Calibri" w:cs="Calibri" w:eastAsia="Calibri" w:hAnsi="Calibri"/>
          <w:b w:val="false"/>
          <w:bCs w:val="false"/>
          <w:i w:val="false"/>
          <w:iCs w:val="false"/>
          <w:caps w:val="false"/>
          <w:color w:val="1F2933"/>
          <w:sz w:val="21"/>
          <w:szCs w:val="21"/>
        </w:rPr>
        <w:t xml:space="preserve">The tool is deliberately simple: one Bash script, no infrastructure to deploy, nothing left running in the account.</w:t>
      </w:r>
    </w:p>
    <w:p>
      <w:pPr>
        <w:pStyle w:val="Heading2"/>
        <w:keepNext/>
        <w:spacing w:after="80" w:before="220"/>
      </w:pPr>
      <w:r>
        <w:rPr>
          <w:rFonts w:ascii="Calibri" w:cs="Calibri" w:eastAsia="Calibri" w:hAnsi="Calibri"/>
          <w:b/>
          <w:bCs/>
          <w:color w:val="EC7211"/>
          <w:sz w:val="24"/>
          <w:szCs w:val="24"/>
        </w:rPr>
        <w:t xml:space="preserve">Why it costs nothing extra</w:t>
      </w:r>
    </w:p>
    <w:p>
      <w:pPr>
        <w:pStyle w:val="ListParagraph"/>
        <w:numPr>
          <w:ilvl w:val="0"/>
          <w:numId w:val="2"/>
        </w:numPr>
        <w:spacing w:after="80" w:line="276"/>
      </w:pPr>
      <w:r>
        <w:rPr>
          <w:rFonts w:ascii="Calibri" w:cs="Calibri" w:eastAsia="Calibri" w:hAnsi="Calibri"/>
          <w:color w:val="1F2933"/>
          <w:sz w:val="21"/>
          <w:szCs w:val="21"/>
        </w:rPr>
        <w:t xml:space="preserve">It calls only read-only AWS APIs (list / describe / get) — no resources are created, so there is nothing to bill.</w:t>
      </w:r>
    </w:p>
    <w:p>
      <w:pPr>
        <w:pStyle w:val="ListParagraph"/>
        <w:numPr>
          <w:ilvl w:val="0"/>
          <w:numId w:val="2"/>
        </w:numPr>
        <w:spacing w:after="80" w:line="276"/>
      </w:pPr>
      <w:r>
        <w:rPr>
          <w:rFonts w:ascii="Calibri" w:cs="Calibri" w:eastAsia="Calibri" w:hAnsi="Calibri"/>
          <w:color w:val="1F2933"/>
          <w:sz w:val="21"/>
          <w:szCs w:val="21"/>
        </w:rPr>
        <w:t xml:space="preserve">It enables no managed services — AWS Config, CloudTrail data events, and Resource Explorer stay off.</w:t>
      </w:r>
    </w:p>
    <w:p>
      <w:pPr>
        <w:pStyle w:val="ListParagraph"/>
        <w:numPr>
          <w:ilvl w:val="0"/>
          <w:numId w:val="2"/>
        </w:numPr>
        <w:spacing w:after="80" w:line="276"/>
      </w:pPr>
      <w:r>
        <w:rPr>
          <w:rFonts w:ascii="Calibri" w:cs="Calibri" w:eastAsia="Calibri" w:hAnsi="Calibri"/>
          <w:color w:val="1F2933"/>
          <w:sz w:val="21"/>
          <w:szCs w:val="21"/>
        </w:rPr>
        <w:t xml:space="preserve">It uses IAM read permissions we already grant (e.g. ReadOnlyAccess / SecurityAudit) — no new entitlements needed.</w:t>
      </w:r>
    </w:p>
    <w:p>
      <w:pPr>
        <w:pStyle w:val="ListParagraph"/>
        <w:numPr>
          <w:ilvl w:val="0"/>
          <w:numId w:val="2"/>
        </w:numPr>
        <w:spacing w:after="80" w:line="276"/>
      </w:pPr>
      <w:r>
        <w:rPr>
          <w:rFonts w:ascii="Calibri" w:cs="Calibri" w:eastAsia="Calibri" w:hAnsi="Calibri"/>
          <w:color w:val="1F2933"/>
          <w:sz w:val="21"/>
          <w:szCs w:val="21"/>
        </w:rPr>
        <w:t xml:space="preserve">It stores nothing in AWS — the report is a local HTML file, not a hosted dashboard.</w:t>
      </w:r>
    </w:p>
    <w:p>
      <w:pPr>
        <w:pStyle w:val="ListParagraph"/>
        <w:numPr>
          <w:ilvl w:val="0"/>
          <w:numId w:val="2"/>
        </w:numPr>
        <w:spacing w:after="80" w:line="276"/>
      </w:pPr>
      <w:r>
        <w:rPr>
          <w:rFonts w:ascii="Calibri" w:cs="Calibri" w:eastAsia="Calibri" w:hAnsi="Calibri"/>
          <w:color w:val="1F2933"/>
          <w:sz w:val="21"/>
          <w:szCs w:val="21"/>
        </w:rPr>
        <w:t xml:space="preserve">It runs on demand — on an engineer's machine or an existing CI runner — so there is no always-on compute footprint.</w:t>
      </w:r>
    </w:p>
    <w:p>
      <w:pPr>
        <w:pStyle w:val="Heading1"/>
        <w:keepNext/>
        <w:pBdr>
          <w:bottom w:val="single" w:color="EC7211" w:sz="10"/>
        </w:pBdr>
        <w:spacing w:after="120" w:before="320"/>
      </w:pPr>
      <w:r>
        <w:rPr>
          <w:rFonts w:ascii="Calibri" w:cs="Calibri" w:eastAsia="Calibri" w:hAnsi="Calibri"/>
          <w:b/>
          <w:bCs/>
          <w:color w:val="232F3E"/>
          <w:sz w:val="30"/>
          <w:szCs w:val="30"/>
        </w:rPr>
        <w:t xml:space="preserve">4. Cost Comparison at a Glance</w:t>
      </w:r>
    </w:p>
    <w:p>
      <w:pPr>
        <w:spacing w:after="140" w:before="0" w:line="276"/>
        <w:jc w:val="left"/>
      </w:pPr>
      <w:r>
        <w:rPr>
          <w:rFonts w:ascii="Calibri" w:cs="Calibri" w:eastAsia="Calibri" w:hAnsi="Calibri"/>
          <w:b w:val="false"/>
          <w:bCs w:val="false"/>
          <w:i w:val="false"/>
          <w:iCs w:val="false"/>
          <w:caps w:val="false"/>
          <w:color w:val="1F2933"/>
          <w:sz w:val="21"/>
          <w:szCs w:val="21"/>
        </w:rPr>
        <w:t xml:space="preserve">The comparison below sets the managed AWS Config approach against the proposed script for the inventory-visibility use case.</w:t>
      </w:r>
    </w:p>
    <w:p>
      <w:pPr>
        <w:spacing w:after="40"/>
      </w:pPr>
    </w:p>
    <w:tbl>
      <w:tblPr>
        <w:tblW w:type="dxa" w:w="9360"/>
        <w:tblBorders>
          <w:top w:val="single" w:color="D9DEE4" w:sz="4"/>
          <w:left w:val="single" w:color="D9DEE4" w:sz="4"/>
          <w:bottom w:val="single" w:color="D9DEE4" w:sz="4"/>
          <w:right w:val="single" w:color="D9DEE4" w:sz="4"/>
          <w:insideH w:val="single" w:color="D9DEE4" w:sz="4"/>
          <w:insideV w:val="single" w:color="D9DEE4" w:sz="4"/>
        </w:tblBorders>
      </w:tblPr>
      <w:tblGrid>
        <w:gridCol w:w="2760"/>
        <w:gridCol w:w="3300"/>
        <w:gridCol w:w="3300"/>
      </w:tblGrid>
      <w:tr>
        <w:trPr>
          <w:tblHeader/>
        </w:trPr>
        <w:tc>
          <w:tcPr>
            <w:tcW w:type="dxa" w:w="2760"/>
            <w:tcBorders>
              <w:top w:val="single" w:color="232F3E" w:sz="4"/>
              <w:left w:val="single" w:color="232F3E" w:sz="4"/>
              <w:bottom w:val="single" w:color="232F3E" w:sz="4"/>
              <w:right w:val="single" w:color="232F3E" w:sz="4"/>
            </w:tcBorders>
            <w:shd w:fill="232F3E" w:color="auto" w:val="clear"/>
            <w:tcMar>
              <w:top w:type="dxa" w:w="90"/>
              <w:left w:type="dxa" w:w="130"/>
              <w:bottom w:type="dxa" w:w="90"/>
              <w:right w:type="dxa" w:w="130"/>
            </w:tcMar>
          </w:tcPr>
          <w:p>
            <w:pPr>
              <w:spacing w:after="0" w:line="252"/>
            </w:pPr>
            <w:r>
              <w:rPr>
                <w:rFonts w:ascii="Calibri" w:cs="Calibri" w:eastAsia="Calibri" w:hAnsi="Calibri"/>
                <w:b/>
                <w:bCs/>
                <w:color w:val="FFFFFF"/>
                <w:sz w:val="20"/>
                <w:szCs w:val="20"/>
              </w:rPr>
              <w:t xml:space="preserve">Dimension</w:t>
            </w:r>
          </w:p>
        </w:tc>
        <w:tc>
          <w:tcPr>
            <w:tcW w:type="dxa" w:w="3300"/>
            <w:tcBorders>
              <w:top w:val="single" w:color="232F3E" w:sz="4"/>
              <w:left w:val="single" w:color="232F3E" w:sz="4"/>
              <w:bottom w:val="single" w:color="232F3E" w:sz="4"/>
              <w:right w:val="single" w:color="232F3E" w:sz="4"/>
            </w:tcBorders>
            <w:shd w:fill="232F3E" w:color="auto" w:val="clear"/>
            <w:tcMar>
              <w:top w:type="dxa" w:w="90"/>
              <w:left w:type="dxa" w:w="130"/>
              <w:bottom w:type="dxa" w:w="90"/>
              <w:right w:type="dxa" w:w="130"/>
            </w:tcMar>
          </w:tcPr>
          <w:p>
            <w:pPr>
              <w:spacing w:after="0" w:line="252"/>
            </w:pPr>
            <w:r>
              <w:rPr>
                <w:rFonts w:ascii="Calibri" w:cs="Calibri" w:eastAsia="Calibri" w:hAnsi="Calibri"/>
                <w:b/>
                <w:bCs/>
                <w:color w:val="FFFFFF"/>
                <w:sz w:val="20"/>
                <w:szCs w:val="20"/>
              </w:rPr>
              <w:t xml:space="preserve">AWS Config</w:t>
            </w:r>
          </w:p>
        </w:tc>
        <w:tc>
          <w:tcPr>
            <w:tcW w:type="dxa" w:w="3300"/>
            <w:tcBorders>
              <w:top w:val="single" w:color="232F3E" w:sz="4"/>
              <w:left w:val="single" w:color="232F3E" w:sz="4"/>
              <w:bottom w:val="single" w:color="232F3E" w:sz="4"/>
              <w:right w:val="single" w:color="232F3E" w:sz="4"/>
            </w:tcBorders>
            <w:shd w:fill="232F3E" w:color="auto" w:val="clear"/>
            <w:tcMar>
              <w:top w:type="dxa" w:w="90"/>
              <w:left w:type="dxa" w:w="130"/>
              <w:bottom w:type="dxa" w:w="90"/>
              <w:right w:type="dxa" w:w="130"/>
            </w:tcMar>
          </w:tcPr>
          <w:p>
            <w:pPr>
              <w:spacing w:after="0" w:line="252"/>
            </w:pPr>
            <w:r>
              <w:rPr>
                <w:rFonts w:ascii="Calibri" w:cs="Calibri" w:eastAsia="Calibri" w:hAnsi="Calibri"/>
                <w:b/>
                <w:bCs/>
                <w:color w:val="FFFFFF"/>
                <w:sz w:val="20"/>
                <w:szCs w:val="20"/>
              </w:rPr>
              <w:t xml:space="preserve">Proposed script</w:t>
            </w:r>
          </w:p>
        </w:tc>
      </w:tr>
      <w:tr>
        <w:tc>
          <w:tcPr>
            <w:tcW w:type="dxa" w:w="2760"/>
            <w:tcBorders>
              <w:top w:val="single" w:color="D9DEE4" w:sz="4"/>
              <w:left w:val="single" w:color="D9DEE4" w:sz="4"/>
              <w:bottom w:val="single" w:color="D9DEE4" w:sz="4"/>
              <w:right w:val="single" w:color="D9DEE4" w:sz="4"/>
            </w:tcBorders>
            <w:shd w:fill="FFFFFF" w:color="auto" w:val="clear"/>
            <w:tcMar>
              <w:top w:type="dxa" w:w="80"/>
              <w:left w:type="dxa" w:w="130"/>
              <w:bottom w:type="dxa" w:w="80"/>
              <w:right w:type="dxa" w:w="130"/>
            </w:tcMar>
          </w:tcPr>
          <w:p>
            <w:pPr>
              <w:spacing w:after="0" w:line="264"/>
            </w:pPr>
            <w:r>
              <w:rPr>
                <w:rFonts w:ascii="Calibri" w:cs="Calibri" w:eastAsia="Calibri" w:hAnsi="Calibri"/>
                <w:b/>
                <w:bCs/>
                <w:i w:val="false"/>
                <w:iCs w:val="false"/>
                <w:color w:val="1F2933"/>
                <w:sz w:val="20"/>
                <w:szCs w:val="20"/>
              </w:rPr>
              <w:t xml:space="preserve">Incremental cloud cost</w:t>
            </w:r>
          </w:p>
        </w:tc>
        <w:tc>
          <w:tcPr>
            <w:tcW w:type="dxa" w:w="3300"/>
            <w:tcBorders>
              <w:top w:val="single" w:color="D9DEE4" w:sz="4"/>
              <w:left w:val="single" w:color="D9DEE4" w:sz="4"/>
              <w:bottom w:val="single" w:color="D9DEE4" w:sz="4"/>
              <w:right w:val="single" w:color="D9DEE4" w:sz="4"/>
            </w:tcBorders>
            <w:shd w:fill="FFFFFF" w:color="auto" w:val="clear"/>
            <w:tcMar>
              <w:top w:type="dxa" w:w="80"/>
              <w:left w:type="dxa" w:w="130"/>
              <w:bottom w:type="dxa" w:w="80"/>
              <w:right w:type="dxa" w:w="130"/>
            </w:tcMar>
          </w:tcPr>
          <w:p>
            <w:pPr>
              <w:spacing w:after="0" w:line="264"/>
            </w:pPr>
            <w:r>
              <w:rPr>
                <w:rFonts w:ascii="Calibri" w:cs="Calibri" w:eastAsia="Calibri" w:hAnsi="Calibri"/>
                <w:b w:val="false"/>
                <w:bCs w:val="false"/>
                <w:i w:val="false"/>
                <w:iCs w:val="false"/>
                <w:color w:val="D97706"/>
                <w:sz w:val="20"/>
                <w:szCs w:val="20"/>
              </w:rPr>
              <w:t xml:space="preserve">Recurring, usage-based (per item + per rule)</w:t>
            </w:r>
          </w:p>
        </w:tc>
        <w:tc>
          <w:tcPr>
            <w:tcW w:type="dxa" w:w="3300"/>
            <w:tcBorders>
              <w:top w:val="single" w:color="D9DEE4" w:sz="4"/>
              <w:left w:val="single" w:color="D9DEE4" w:sz="4"/>
              <w:bottom w:val="single" w:color="D9DEE4" w:sz="4"/>
              <w:right w:val="single" w:color="D9DEE4" w:sz="4"/>
            </w:tcBorders>
            <w:shd w:fill="FFFFFF" w:color="auto" w:val="clear"/>
            <w:tcMar>
              <w:top w:type="dxa" w:w="80"/>
              <w:left w:type="dxa" w:w="130"/>
              <w:bottom w:type="dxa" w:w="80"/>
              <w:right w:type="dxa" w:w="130"/>
            </w:tcMar>
          </w:tcPr>
          <w:p>
            <w:pPr>
              <w:spacing w:after="0" w:line="264"/>
            </w:pPr>
            <w:r>
              <w:rPr>
                <w:rFonts w:ascii="Calibri" w:cs="Calibri" w:eastAsia="Calibri" w:hAnsi="Calibri"/>
                <w:b/>
                <w:bCs/>
                <w:i w:val="false"/>
                <w:iCs w:val="false"/>
                <w:color w:val="0F9D58"/>
                <w:sz w:val="20"/>
                <w:szCs w:val="20"/>
              </w:rPr>
              <w:t xml:space="preserve">None — read-only calls only</w:t>
            </w:r>
          </w:p>
        </w:tc>
      </w:tr>
      <w:tr>
        <w:tc>
          <w:tcPr>
            <w:tcW w:type="dxa" w:w="2760"/>
            <w:tcBorders>
              <w:top w:val="single" w:color="D9DEE4" w:sz="4"/>
              <w:left w:val="single" w:color="D9DEE4" w:sz="4"/>
              <w:bottom w:val="single" w:color="D9DEE4" w:sz="4"/>
              <w:right w:val="single" w:color="D9DEE4" w:sz="4"/>
            </w:tcBorders>
            <w:shd w:fill="F4F6F8" w:color="auto" w:val="clear"/>
            <w:tcMar>
              <w:top w:type="dxa" w:w="80"/>
              <w:left w:type="dxa" w:w="130"/>
              <w:bottom w:type="dxa" w:w="80"/>
              <w:right w:type="dxa" w:w="130"/>
            </w:tcMar>
          </w:tcPr>
          <w:p>
            <w:pPr>
              <w:spacing w:after="0" w:line="264"/>
            </w:pPr>
            <w:r>
              <w:rPr>
                <w:rFonts w:ascii="Calibri" w:cs="Calibri" w:eastAsia="Calibri" w:hAnsi="Calibri"/>
                <w:b/>
                <w:bCs/>
                <w:i w:val="false"/>
                <w:iCs w:val="false"/>
                <w:color w:val="1F2933"/>
                <w:sz w:val="20"/>
                <w:szCs w:val="20"/>
              </w:rPr>
              <w:t xml:space="preserve">Setup effort</w:t>
            </w:r>
          </w:p>
        </w:tc>
        <w:tc>
          <w:tcPr>
            <w:tcW w:type="dxa" w:w="3300"/>
            <w:tcBorders>
              <w:top w:val="single" w:color="D9DEE4" w:sz="4"/>
              <w:left w:val="single" w:color="D9DEE4" w:sz="4"/>
              <w:bottom w:val="single" w:color="D9DEE4" w:sz="4"/>
              <w:right w:val="single" w:color="D9DEE4" w:sz="4"/>
            </w:tcBorders>
            <w:shd w:fill="F4F6F8" w:color="auto" w:val="clear"/>
            <w:tcMar>
              <w:top w:type="dxa" w:w="80"/>
              <w:left w:type="dxa" w:w="130"/>
              <w:bottom w:type="dxa" w:w="80"/>
              <w:right w:type="dxa" w:w="130"/>
            </w:tcMar>
          </w:tcPr>
          <w:p>
            <w:pPr>
              <w:spacing w:after="0" w:line="264"/>
            </w:pPr>
            <w:r>
              <w:rPr>
                <w:rFonts w:ascii="Calibri" w:cs="Calibri" w:eastAsia="Calibri" w:hAnsi="Calibri"/>
                <w:b w:val="false"/>
                <w:bCs w:val="false"/>
                <w:i w:val="false"/>
                <w:iCs w:val="false"/>
                <w:color w:val="1F2933"/>
                <w:sz w:val="20"/>
                <w:szCs w:val="20"/>
              </w:rPr>
              <w:t xml:space="preserve">Enable recording, recorders, delivery channels per region</w:t>
            </w:r>
          </w:p>
        </w:tc>
        <w:tc>
          <w:tcPr>
            <w:tcW w:type="dxa" w:w="3300"/>
            <w:tcBorders>
              <w:top w:val="single" w:color="D9DEE4" w:sz="4"/>
              <w:left w:val="single" w:color="D9DEE4" w:sz="4"/>
              <w:bottom w:val="single" w:color="D9DEE4" w:sz="4"/>
              <w:right w:val="single" w:color="D9DEE4" w:sz="4"/>
            </w:tcBorders>
            <w:shd w:fill="F4F6F8" w:color="auto" w:val="clear"/>
            <w:tcMar>
              <w:top w:type="dxa" w:w="80"/>
              <w:left w:type="dxa" w:w="130"/>
              <w:bottom w:type="dxa" w:w="80"/>
              <w:right w:type="dxa" w:w="130"/>
            </w:tcMar>
          </w:tcPr>
          <w:p>
            <w:pPr>
              <w:spacing w:after="0" w:line="264"/>
            </w:pPr>
            <w:r>
              <w:rPr>
                <w:rFonts w:ascii="Calibri" w:cs="Calibri" w:eastAsia="Calibri" w:hAnsi="Calibri"/>
                <w:b w:val="false"/>
                <w:bCs w:val="false"/>
                <w:i w:val="false"/>
                <w:iCs w:val="false"/>
                <w:color w:val="1F2933"/>
                <w:sz w:val="20"/>
                <w:szCs w:val="20"/>
              </w:rPr>
              <w:t xml:space="preserve">chmod +x, then run</w:t>
            </w:r>
          </w:p>
        </w:tc>
      </w:tr>
      <w:tr>
        <w:tc>
          <w:tcPr>
            <w:tcW w:type="dxa" w:w="2760"/>
            <w:tcBorders>
              <w:top w:val="single" w:color="D9DEE4" w:sz="4"/>
              <w:left w:val="single" w:color="D9DEE4" w:sz="4"/>
              <w:bottom w:val="single" w:color="D9DEE4" w:sz="4"/>
              <w:right w:val="single" w:color="D9DEE4" w:sz="4"/>
            </w:tcBorders>
            <w:shd w:fill="FFFFFF" w:color="auto" w:val="clear"/>
            <w:tcMar>
              <w:top w:type="dxa" w:w="80"/>
              <w:left w:type="dxa" w:w="130"/>
              <w:bottom w:type="dxa" w:w="80"/>
              <w:right w:type="dxa" w:w="130"/>
            </w:tcMar>
          </w:tcPr>
          <w:p>
            <w:pPr>
              <w:spacing w:after="0" w:line="264"/>
            </w:pPr>
            <w:r>
              <w:rPr>
                <w:rFonts w:ascii="Calibri" w:cs="Calibri" w:eastAsia="Calibri" w:hAnsi="Calibri"/>
                <w:b/>
                <w:bCs/>
                <w:i w:val="false"/>
                <w:iCs w:val="false"/>
                <w:color w:val="1F2933"/>
                <w:sz w:val="20"/>
                <w:szCs w:val="20"/>
              </w:rPr>
              <w:t xml:space="preserve">Data residency</w:t>
            </w:r>
          </w:p>
        </w:tc>
        <w:tc>
          <w:tcPr>
            <w:tcW w:type="dxa" w:w="3300"/>
            <w:tcBorders>
              <w:top w:val="single" w:color="D9DEE4" w:sz="4"/>
              <w:left w:val="single" w:color="D9DEE4" w:sz="4"/>
              <w:bottom w:val="single" w:color="D9DEE4" w:sz="4"/>
              <w:right w:val="single" w:color="D9DEE4" w:sz="4"/>
            </w:tcBorders>
            <w:shd w:fill="FFFFFF" w:color="auto" w:val="clear"/>
            <w:tcMar>
              <w:top w:type="dxa" w:w="80"/>
              <w:left w:type="dxa" w:w="130"/>
              <w:bottom w:type="dxa" w:w="80"/>
              <w:right w:type="dxa" w:w="130"/>
            </w:tcMar>
          </w:tcPr>
          <w:p>
            <w:pPr>
              <w:spacing w:after="0" w:line="264"/>
            </w:pPr>
            <w:r>
              <w:rPr>
                <w:rFonts w:ascii="Calibri" w:cs="Calibri" w:eastAsia="Calibri" w:hAnsi="Calibri"/>
                <w:b w:val="false"/>
                <w:bCs w:val="false"/>
                <w:i w:val="false"/>
                <w:iCs w:val="false"/>
                <w:color w:val="1F2933"/>
                <w:sz w:val="20"/>
                <w:szCs w:val="20"/>
              </w:rPr>
              <w:t xml:space="preserve">Configuration data stored in AWS</w:t>
            </w:r>
          </w:p>
        </w:tc>
        <w:tc>
          <w:tcPr>
            <w:tcW w:type="dxa" w:w="3300"/>
            <w:tcBorders>
              <w:top w:val="single" w:color="D9DEE4" w:sz="4"/>
              <w:left w:val="single" w:color="D9DEE4" w:sz="4"/>
              <w:bottom w:val="single" w:color="D9DEE4" w:sz="4"/>
              <w:right w:val="single" w:color="D9DEE4" w:sz="4"/>
            </w:tcBorders>
            <w:shd w:fill="FFFFFF" w:color="auto" w:val="clear"/>
            <w:tcMar>
              <w:top w:type="dxa" w:w="80"/>
              <w:left w:type="dxa" w:w="130"/>
              <w:bottom w:type="dxa" w:w="80"/>
              <w:right w:type="dxa" w:w="130"/>
            </w:tcMar>
          </w:tcPr>
          <w:p>
            <w:pPr>
              <w:spacing w:after="0" w:line="264"/>
            </w:pPr>
            <w:r>
              <w:rPr>
                <w:rFonts w:ascii="Calibri" w:cs="Calibri" w:eastAsia="Calibri" w:hAnsi="Calibri"/>
                <w:b w:val="false"/>
                <w:bCs w:val="false"/>
                <w:i w:val="false"/>
                <w:iCs w:val="false"/>
                <w:color w:val="1F2933"/>
                <w:sz w:val="20"/>
                <w:szCs w:val="20"/>
              </w:rPr>
              <w:t xml:space="preserve">Local HTML file only</w:t>
            </w:r>
          </w:p>
        </w:tc>
      </w:tr>
      <w:tr>
        <w:tc>
          <w:tcPr>
            <w:tcW w:type="dxa" w:w="2760"/>
            <w:tcBorders>
              <w:top w:val="single" w:color="D9DEE4" w:sz="4"/>
              <w:left w:val="single" w:color="D9DEE4" w:sz="4"/>
              <w:bottom w:val="single" w:color="D9DEE4" w:sz="4"/>
              <w:right w:val="single" w:color="D9DEE4" w:sz="4"/>
            </w:tcBorders>
            <w:shd w:fill="F4F6F8" w:color="auto" w:val="clear"/>
            <w:tcMar>
              <w:top w:type="dxa" w:w="80"/>
              <w:left w:type="dxa" w:w="130"/>
              <w:bottom w:type="dxa" w:w="80"/>
              <w:right w:type="dxa" w:w="130"/>
            </w:tcMar>
          </w:tcPr>
          <w:p>
            <w:pPr>
              <w:spacing w:after="0" w:line="264"/>
            </w:pPr>
            <w:r>
              <w:rPr>
                <w:rFonts w:ascii="Calibri" w:cs="Calibri" w:eastAsia="Calibri" w:hAnsi="Calibri"/>
                <w:b/>
                <w:bCs/>
                <w:i w:val="false"/>
                <w:iCs w:val="false"/>
                <w:color w:val="1F2933"/>
                <w:sz w:val="20"/>
                <w:szCs w:val="20"/>
              </w:rPr>
              <w:t xml:space="preserve">Coverage model</w:t>
            </w:r>
          </w:p>
        </w:tc>
        <w:tc>
          <w:tcPr>
            <w:tcW w:type="dxa" w:w="3300"/>
            <w:tcBorders>
              <w:top w:val="single" w:color="D9DEE4" w:sz="4"/>
              <w:left w:val="single" w:color="D9DEE4" w:sz="4"/>
              <w:bottom w:val="single" w:color="D9DEE4" w:sz="4"/>
              <w:right w:val="single" w:color="D9DEE4" w:sz="4"/>
            </w:tcBorders>
            <w:shd w:fill="F4F6F8" w:color="auto" w:val="clear"/>
            <w:tcMar>
              <w:top w:type="dxa" w:w="80"/>
              <w:left w:type="dxa" w:w="130"/>
              <w:bottom w:type="dxa" w:w="80"/>
              <w:right w:type="dxa" w:w="130"/>
            </w:tcMar>
          </w:tcPr>
          <w:p>
            <w:pPr>
              <w:spacing w:after="0" w:line="264"/>
            </w:pPr>
            <w:r>
              <w:rPr>
                <w:rFonts w:ascii="Calibri" w:cs="Calibri" w:eastAsia="Calibri" w:hAnsi="Calibri"/>
                <w:b w:val="false"/>
                <w:bCs w:val="false"/>
                <w:i w:val="false"/>
                <w:iCs w:val="false"/>
                <w:color w:val="1F2933"/>
                <w:sz w:val="20"/>
                <w:szCs w:val="20"/>
              </w:rPr>
              <w:t xml:space="preserve">Continuous change tracking</w:t>
            </w:r>
          </w:p>
        </w:tc>
        <w:tc>
          <w:tcPr>
            <w:tcW w:type="dxa" w:w="3300"/>
            <w:tcBorders>
              <w:top w:val="single" w:color="D9DEE4" w:sz="4"/>
              <w:left w:val="single" w:color="D9DEE4" w:sz="4"/>
              <w:bottom w:val="single" w:color="D9DEE4" w:sz="4"/>
              <w:right w:val="single" w:color="D9DEE4" w:sz="4"/>
            </w:tcBorders>
            <w:shd w:fill="F4F6F8" w:color="auto" w:val="clear"/>
            <w:tcMar>
              <w:top w:type="dxa" w:w="80"/>
              <w:left w:type="dxa" w:w="130"/>
              <w:bottom w:type="dxa" w:w="80"/>
              <w:right w:type="dxa" w:w="130"/>
            </w:tcMar>
          </w:tcPr>
          <w:p>
            <w:pPr>
              <w:spacing w:after="0" w:line="264"/>
            </w:pPr>
            <w:r>
              <w:rPr>
                <w:rFonts w:ascii="Calibri" w:cs="Calibri" w:eastAsia="Calibri" w:hAnsi="Calibri"/>
                <w:b w:val="false"/>
                <w:bCs w:val="false"/>
                <w:i w:val="false"/>
                <w:iCs w:val="false"/>
                <w:color w:val="1F2933"/>
                <w:sz w:val="20"/>
                <w:szCs w:val="20"/>
              </w:rPr>
              <w:t xml:space="preserve">On-demand point-in-time snapshot</w:t>
            </w:r>
          </w:p>
        </w:tc>
      </w:tr>
      <w:tr>
        <w:tc>
          <w:tcPr>
            <w:tcW w:type="dxa" w:w="2760"/>
            <w:tcBorders>
              <w:top w:val="single" w:color="D9DEE4" w:sz="4"/>
              <w:left w:val="single" w:color="D9DEE4" w:sz="4"/>
              <w:bottom w:val="single" w:color="D9DEE4" w:sz="4"/>
              <w:right w:val="single" w:color="D9DEE4" w:sz="4"/>
            </w:tcBorders>
            <w:shd w:fill="FFFFFF" w:color="auto" w:val="clear"/>
            <w:tcMar>
              <w:top w:type="dxa" w:w="80"/>
              <w:left w:type="dxa" w:w="130"/>
              <w:bottom w:type="dxa" w:w="80"/>
              <w:right w:type="dxa" w:w="130"/>
            </w:tcMar>
          </w:tcPr>
          <w:p>
            <w:pPr>
              <w:spacing w:after="0" w:line="264"/>
            </w:pPr>
            <w:r>
              <w:rPr>
                <w:rFonts w:ascii="Calibri" w:cs="Calibri" w:eastAsia="Calibri" w:hAnsi="Calibri"/>
                <w:b/>
                <w:bCs/>
                <w:i w:val="false"/>
                <w:iCs w:val="false"/>
                <w:color w:val="1F2933"/>
                <w:sz w:val="20"/>
                <w:szCs w:val="20"/>
              </w:rPr>
              <w:t xml:space="preserve">Regional view</w:t>
            </w:r>
          </w:p>
        </w:tc>
        <w:tc>
          <w:tcPr>
            <w:tcW w:type="dxa" w:w="3300"/>
            <w:tcBorders>
              <w:top w:val="single" w:color="D9DEE4" w:sz="4"/>
              <w:left w:val="single" w:color="D9DEE4" w:sz="4"/>
              <w:bottom w:val="single" w:color="D9DEE4" w:sz="4"/>
              <w:right w:val="single" w:color="D9DEE4" w:sz="4"/>
            </w:tcBorders>
            <w:shd w:fill="FFFFFF" w:color="auto" w:val="clear"/>
            <w:tcMar>
              <w:top w:type="dxa" w:w="80"/>
              <w:left w:type="dxa" w:w="130"/>
              <w:bottom w:type="dxa" w:w="80"/>
              <w:right w:type="dxa" w:w="130"/>
            </w:tcMar>
          </w:tcPr>
          <w:p>
            <w:pPr>
              <w:spacing w:after="0" w:line="264"/>
            </w:pPr>
            <w:r>
              <w:rPr>
                <w:rFonts w:ascii="Calibri" w:cs="Calibri" w:eastAsia="Calibri" w:hAnsi="Calibri"/>
                <w:b w:val="false"/>
                <w:bCs w:val="false"/>
                <w:i w:val="false"/>
                <w:iCs w:val="false"/>
                <w:color w:val="1F2933"/>
                <w:sz w:val="20"/>
                <w:szCs w:val="20"/>
              </w:rPr>
              <w:t xml:space="preserve">Per-region configuration</w:t>
            </w:r>
          </w:p>
        </w:tc>
        <w:tc>
          <w:tcPr>
            <w:tcW w:type="dxa" w:w="3300"/>
            <w:tcBorders>
              <w:top w:val="single" w:color="D9DEE4" w:sz="4"/>
              <w:left w:val="single" w:color="D9DEE4" w:sz="4"/>
              <w:bottom w:val="single" w:color="D9DEE4" w:sz="4"/>
              <w:right w:val="single" w:color="D9DEE4" w:sz="4"/>
            </w:tcBorders>
            <w:shd w:fill="FFFFFF" w:color="auto" w:val="clear"/>
            <w:tcMar>
              <w:top w:type="dxa" w:w="80"/>
              <w:left w:type="dxa" w:w="130"/>
              <w:bottom w:type="dxa" w:w="80"/>
              <w:right w:type="dxa" w:w="130"/>
            </w:tcMar>
          </w:tcPr>
          <w:p>
            <w:pPr>
              <w:spacing w:after="0" w:line="264"/>
            </w:pPr>
            <w:r>
              <w:rPr>
                <w:rFonts w:ascii="Calibri" w:cs="Calibri" w:eastAsia="Calibri" w:hAnsi="Calibri"/>
                <w:b w:val="false"/>
                <w:bCs w:val="false"/>
                <w:i w:val="false"/>
                <w:iCs w:val="false"/>
                <w:color w:val="1F2933"/>
                <w:sz w:val="20"/>
                <w:szCs w:val="20"/>
              </w:rPr>
              <w:t xml:space="preserve">Per-region tabs + Global tab built in</w:t>
            </w:r>
          </w:p>
        </w:tc>
      </w:tr>
      <w:tr>
        <w:tc>
          <w:tcPr>
            <w:tcW w:type="dxa" w:w="2760"/>
            <w:tcBorders>
              <w:top w:val="single" w:color="D9DEE4" w:sz="4"/>
              <w:left w:val="single" w:color="D9DEE4" w:sz="4"/>
              <w:bottom w:val="single" w:color="D9DEE4" w:sz="4"/>
              <w:right w:val="single" w:color="D9DEE4" w:sz="4"/>
            </w:tcBorders>
            <w:shd w:fill="F4F6F8" w:color="auto" w:val="clear"/>
            <w:tcMar>
              <w:top w:type="dxa" w:w="80"/>
              <w:left w:type="dxa" w:w="130"/>
              <w:bottom w:type="dxa" w:w="80"/>
              <w:right w:type="dxa" w:w="130"/>
            </w:tcMar>
          </w:tcPr>
          <w:p>
            <w:pPr>
              <w:spacing w:after="0" w:line="264"/>
            </w:pPr>
            <w:r>
              <w:rPr>
                <w:rFonts w:ascii="Calibri" w:cs="Calibri" w:eastAsia="Calibri" w:hAnsi="Calibri"/>
                <w:b/>
                <w:bCs/>
                <w:i w:val="false"/>
                <w:iCs w:val="false"/>
                <w:color w:val="1F2933"/>
                <w:sz w:val="20"/>
                <w:szCs w:val="20"/>
              </w:rPr>
              <w:t xml:space="preserve">Portability of output</w:t>
            </w:r>
          </w:p>
        </w:tc>
        <w:tc>
          <w:tcPr>
            <w:tcW w:type="dxa" w:w="3300"/>
            <w:tcBorders>
              <w:top w:val="single" w:color="D9DEE4" w:sz="4"/>
              <w:left w:val="single" w:color="D9DEE4" w:sz="4"/>
              <w:bottom w:val="single" w:color="D9DEE4" w:sz="4"/>
              <w:right w:val="single" w:color="D9DEE4" w:sz="4"/>
            </w:tcBorders>
            <w:shd w:fill="F4F6F8" w:color="auto" w:val="clear"/>
            <w:tcMar>
              <w:top w:type="dxa" w:w="80"/>
              <w:left w:type="dxa" w:w="130"/>
              <w:bottom w:type="dxa" w:w="80"/>
              <w:right w:type="dxa" w:w="130"/>
            </w:tcMar>
          </w:tcPr>
          <w:p>
            <w:pPr>
              <w:spacing w:after="0" w:line="264"/>
            </w:pPr>
            <w:r>
              <w:rPr>
                <w:rFonts w:ascii="Calibri" w:cs="Calibri" w:eastAsia="Calibri" w:hAnsi="Calibri"/>
                <w:b w:val="false"/>
                <w:bCs w:val="false"/>
                <w:i w:val="false"/>
                <w:iCs w:val="false"/>
                <w:color w:val="1F2933"/>
                <w:sz w:val="20"/>
                <w:szCs w:val="20"/>
              </w:rPr>
              <w:t xml:space="preserve">Console / API</w:t>
            </w:r>
          </w:p>
        </w:tc>
        <w:tc>
          <w:tcPr>
            <w:tcW w:type="dxa" w:w="3300"/>
            <w:tcBorders>
              <w:top w:val="single" w:color="D9DEE4" w:sz="4"/>
              <w:left w:val="single" w:color="D9DEE4" w:sz="4"/>
              <w:bottom w:val="single" w:color="D9DEE4" w:sz="4"/>
              <w:right w:val="single" w:color="D9DEE4" w:sz="4"/>
            </w:tcBorders>
            <w:shd w:fill="F4F6F8" w:color="auto" w:val="clear"/>
            <w:tcMar>
              <w:top w:type="dxa" w:w="80"/>
              <w:left w:type="dxa" w:w="130"/>
              <w:bottom w:type="dxa" w:w="80"/>
              <w:right w:type="dxa" w:w="130"/>
            </w:tcMar>
          </w:tcPr>
          <w:p>
            <w:pPr>
              <w:spacing w:after="0" w:line="264"/>
            </w:pPr>
            <w:r>
              <w:rPr>
                <w:rFonts w:ascii="Calibri" w:cs="Calibri" w:eastAsia="Calibri" w:hAnsi="Calibri"/>
                <w:b w:val="false"/>
                <w:bCs w:val="false"/>
                <w:i w:val="false"/>
                <w:iCs w:val="false"/>
                <w:color w:val="1F2933"/>
                <w:sz w:val="20"/>
                <w:szCs w:val="20"/>
              </w:rPr>
              <w:t xml:space="preserve">Self-contained HTML, shareable via zip</w:t>
            </w:r>
          </w:p>
        </w:tc>
      </w:tr>
      <w:tr>
        <w:tc>
          <w:tcPr>
            <w:tcW w:type="dxa" w:w="2760"/>
            <w:tcBorders>
              <w:top w:val="single" w:color="D9DEE4" w:sz="4"/>
              <w:left w:val="single" w:color="D9DEE4" w:sz="4"/>
              <w:bottom w:val="single" w:color="D9DEE4" w:sz="4"/>
              <w:right w:val="single" w:color="D9DEE4" w:sz="4"/>
            </w:tcBorders>
            <w:shd w:fill="FFFFFF" w:color="auto" w:val="clear"/>
            <w:tcMar>
              <w:top w:type="dxa" w:w="80"/>
              <w:left w:type="dxa" w:w="130"/>
              <w:bottom w:type="dxa" w:w="80"/>
              <w:right w:type="dxa" w:w="130"/>
            </w:tcMar>
          </w:tcPr>
          <w:p>
            <w:pPr>
              <w:spacing w:after="0" w:line="264"/>
            </w:pPr>
            <w:r>
              <w:rPr>
                <w:rFonts w:ascii="Calibri" w:cs="Calibri" w:eastAsia="Calibri" w:hAnsi="Calibri"/>
                <w:b/>
                <w:bCs/>
                <w:i w:val="false"/>
                <w:iCs w:val="false"/>
                <w:color w:val="1F2933"/>
                <w:sz w:val="20"/>
                <w:szCs w:val="20"/>
              </w:rPr>
              <w:t xml:space="preserve">Permissions required</w:t>
            </w:r>
          </w:p>
        </w:tc>
        <w:tc>
          <w:tcPr>
            <w:tcW w:type="dxa" w:w="3300"/>
            <w:tcBorders>
              <w:top w:val="single" w:color="D9DEE4" w:sz="4"/>
              <w:left w:val="single" w:color="D9DEE4" w:sz="4"/>
              <w:bottom w:val="single" w:color="D9DEE4" w:sz="4"/>
              <w:right w:val="single" w:color="D9DEE4" w:sz="4"/>
            </w:tcBorders>
            <w:shd w:fill="FFFFFF" w:color="auto" w:val="clear"/>
            <w:tcMar>
              <w:top w:type="dxa" w:w="80"/>
              <w:left w:type="dxa" w:w="130"/>
              <w:bottom w:type="dxa" w:w="80"/>
              <w:right w:type="dxa" w:w="130"/>
            </w:tcMar>
          </w:tcPr>
          <w:p>
            <w:pPr>
              <w:spacing w:after="0" w:line="264"/>
            </w:pPr>
            <w:r>
              <w:rPr>
                <w:rFonts w:ascii="Calibri" w:cs="Calibri" w:eastAsia="Calibri" w:hAnsi="Calibri"/>
                <w:b w:val="false"/>
                <w:bCs w:val="false"/>
                <w:i w:val="false"/>
                <w:iCs w:val="false"/>
                <w:color w:val="1F2933"/>
                <w:sz w:val="20"/>
                <w:szCs w:val="20"/>
              </w:rPr>
              <w:t xml:space="preserve">Config service role + write to buckets</w:t>
            </w:r>
          </w:p>
        </w:tc>
        <w:tc>
          <w:tcPr>
            <w:tcW w:type="dxa" w:w="3300"/>
            <w:tcBorders>
              <w:top w:val="single" w:color="D9DEE4" w:sz="4"/>
              <w:left w:val="single" w:color="D9DEE4" w:sz="4"/>
              <w:bottom w:val="single" w:color="D9DEE4" w:sz="4"/>
              <w:right w:val="single" w:color="D9DEE4" w:sz="4"/>
            </w:tcBorders>
            <w:shd w:fill="FFFFFF" w:color="auto" w:val="clear"/>
            <w:tcMar>
              <w:top w:type="dxa" w:w="80"/>
              <w:left w:type="dxa" w:w="130"/>
              <w:bottom w:type="dxa" w:w="80"/>
              <w:right w:type="dxa" w:w="130"/>
            </w:tcMar>
          </w:tcPr>
          <w:p>
            <w:pPr>
              <w:spacing w:after="0" w:line="264"/>
            </w:pPr>
            <w:r>
              <w:rPr>
                <w:rFonts w:ascii="Calibri" w:cs="Calibri" w:eastAsia="Calibri" w:hAnsi="Calibri"/>
                <w:b w:val="false"/>
                <w:bCs w:val="false"/>
                <w:i w:val="false"/>
                <w:iCs w:val="false"/>
                <w:color w:val="1F2933"/>
                <w:sz w:val="20"/>
                <w:szCs w:val="20"/>
              </w:rPr>
              <w:t xml:space="preserve">Existing read-only IAM</w:t>
            </w:r>
          </w:p>
        </w:tc>
      </w:tr>
    </w:tbl>
    <w:p>
      <w:pPr>
        <w:spacing w:after="40"/>
      </w:pPr>
    </w:p>
    <w:tbl>
      <w:tblPr>
        <w:tblW w:type="dxa" w:w="9360"/>
        <w:tblBorders>
          <w:top w:val="single" w:color="EC7211" w:sz="4"/>
          <w:left w:val="single" w:color="EC7211" w:sz="24"/>
          <w:bottom w:val="single" w:color="EC7211" w:sz="4"/>
          <w:right w:val="single" w:color="EC7211" w:sz="4"/>
          <w:insideH w:val="none" w:color="FFFFFF" w:sz="0"/>
          <w:insideV w:val="none" w:color="FFFFFF" w:sz="0"/>
        </w:tblBorders>
      </w:tblPr>
      <w:tblGrid>
        <w:gridCol w:w="9360"/>
      </w:tblGrid>
      <w:tr>
        <w:tc>
          <w:tcPr>
            <w:tcW w:type="dxa" w:w="9360"/>
            <w:shd w:fill="FCE9D9" w:color="auto" w:val="clear"/>
            <w:tcMar>
              <w:top w:type="dxa" w:w="140"/>
              <w:left w:type="dxa" w:w="200"/>
              <w:bottom w:type="dxa" w:w="140"/>
              <w:right w:type="dxa" w:w="200"/>
            </w:tcMar>
          </w:tcPr>
          <w:p>
            <w:pPr>
              <w:spacing w:after="60"/>
            </w:pPr>
            <w:r>
              <w:rPr>
                <w:rFonts w:ascii="Calibri" w:cs="Calibri" w:eastAsia="Calibri" w:hAnsi="Calibri"/>
                <w:b/>
                <w:bCs/>
                <w:caps/>
                <w:color w:val="232F3E"/>
                <w:sz w:val="22"/>
                <w:szCs w:val="22"/>
              </w:rPr>
              <w:t xml:space="preserve">Estimated annual saving</w:t>
            </w:r>
          </w:p>
          <w:p>
            <w:pPr>
              <w:spacing w:after="60" w:line="276"/>
            </w:pPr>
            <w:r>
              <w:rPr>
                <w:rFonts w:ascii="Calibri" w:cs="Calibri" w:eastAsia="Calibri" w:hAnsi="Calibri"/>
                <w:color w:val="1F2933"/>
                <w:sz w:val="21"/>
                <w:szCs w:val="21"/>
              </w:rPr>
              <w:t xml:space="preserve">By meeting the inventory-visibility need with the script, we avoid the recurring AWS Config item-recording and</w:t>
            </w:r>
          </w:p>
          <w:p>
            <w:pPr>
              <w:spacing w:after="0" w:line="276"/>
            </w:pPr>
            <w:r>
              <w:rPr>
                <w:rFonts w:ascii="Calibri" w:cs="Calibri" w:eastAsia="Calibri" w:hAnsi="Calibri"/>
                <w:color w:val="1F2933"/>
                <w:sz w:val="21"/>
                <w:szCs w:val="21"/>
              </w:rPr>
              <w:t xml:space="preserve">rule-evaluation charges entirely for this use case — a saving that recurs every month and grows with the estate.</w:t>
            </w:r>
          </w:p>
        </w:tc>
      </w:tr>
    </w:tbl>
    <w:p>
      <w:pPr>
        <w:spacing w:after="140" w:before="40" w:line="276"/>
        <w:jc w:val="left"/>
      </w:pPr>
      <w:r>
        <w:rPr>
          <w:rFonts w:ascii="Calibri" w:cs="Calibri" w:eastAsia="Calibri" w:hAnsi="Calibri"/>
          <w:b w:val="false"/>
          <w:bCs w:val="false"/>
          <w:i/>
          <w:iCs/>
          <w:caps w:val="false"/>
          <w:color w:val="6B7280"/>
          <w:sz w:val="18"/>
          <w:szCs w:val="18"/>
        </w:rPr>
        <w:t xml:space="preserve">A precise figure depends on current resource and region counts; the DevOps team can produce a tailored estimate from a single Cost Explorer pull on request.</w:t>
      </w:r>
    </w:p>
    <w:p>
      <w:pPr>
        <w:pStyle w:val="Heading1"/>
        <w:keepNext/>
        <w:pBdr>
          <w:bottom w:val="single" w:color="EC7211" w:sz="10"/>
        </w:pBdr>
        <w:spacing w:after="120" w:before="320"/>
      </w:pPr>
      <w:r>
        <w:rPr>
          <w:rFonts w:ascii="Calibri" w:cs="Calibri" w:eastAsia="Calibri" w:hAnsi="Calibri"/>
          <w:b/>
          <w:bCs/>
          <w:color w:val="232F3E"/>
          <w:sz w:val="30"/>
          <w:szCs w:val="30"/>
        </w:rPr>
        <w:t xml:space="preserve">5. Benefits Beyond the Savings</w:t>
      </w:r>
    </w:p>
    <w:p>
      <w:pPr>
        <w:pStyle w:val="ListParagraph"/>
        <w:numPr>
          <w:ilvl w:val="0"/>
          <w:numId w:val="2"/>
        </w:numPr>
        <w:spacing w:after="80" w:line="276"/>
      </w:pPr>
      <w:r>
        <w:rPr>
          <w:rFonts w:ascii="Calibri" w:cs="Calibri" w:eastAsia="Calibri" w:hAnsi="Calibri"/>
          <w:b/>
          <w:bCs/>
          <w:color w:val="1F2933"/>
          <w:sz w:val="21"/>
          <w:szCs w:val="21"/>
        </w:rPr>
        <w:t xml:space="preserve">Immediate. </w:t>
      </w:r>
      <w:r>
        <w:rPr>
          <w:rFonts w:ascii="Calibri" w:cs="Calibri" w:eastAsia="Calibri" w:hAnsi="Calibri"/>
          <w:color w:val="1F2933"/>
          <w:sz w:val="21"/>
          <w:szCs w:val="21"/>
        </w:rPr>
        <w:t xml:space="preserve">No procurement, no service enablement, no waiting — the report can be produced today.</w:t>
      </w:r>
    </w:p>
    <w:p>
      <w:pPr>
        <w:pStyle w:val="ListParagraph"/>
        <w:numPr>
          <w:ilvl w:val="0"/>
          <w:numId w:val="2"/>
        </w:numPr>
        <w:spacing w:after="80" w:line="276"/>
      </w:pPr>
      <w:r>
        <w:rPr>
          <w:rFonts w:ascii="Calibri" w:cs="Calibri" w:eastAsia="Calibri" w:hAnsi="Calibri"/>
          <w:b/>
          <w:bCs/>
          <w:color w:val="1F2933"/>
          <w:sz w:val="21"/>
          <w:szCs w:val="21"/>
        </w:rPr>
        <w:t xml:space="preserve">Safe. </w:t>
      </w:r>
      <w:r>
        <w:rPr>
          <w:rFonts w:ascii="Calibri" w:cs="Calibri" w:eastAsia="Calibri" w:hAnsi="Calibri"/>
          <w:color w:val="1F2933"/>
          <w:sz w:val="21"/>
          <w:szCs w:val="21"/>
        </w:rPr>
        <w:t xml:space="preserve">The scan is strictly read-only; it cannot modify or delete anything in the account.</w:t>
      </w:r>
    </w:p>
    <w:p>
      <w:pPr>
        <w:pStyle w:val="ListParagraph"/>
        <w:numPr>
          <w:ilvl w:val="0"/>
          <w:numId w:val="2"/>
        </w:numPr>
        <w:spacing w:after="80" w:line="276"/>
      </w:pPr>
      <w:r>
        <w:rPr>
          <w:rFonts w:ascii="Calibri" w:cs="Calibri" w:eastAsia="Calibri" w:hAnsi="Calibri"/>
          <w:b/>
          <w:bCs/>
          <w:color w:val="1F2933"/>
          <w:sz w:val="21"/>
          <w:szCs w:val="21"/>
        </w:rPr>
        <w:t xml:space="preserve">Readable by non-engineers. </w:t>
      </w:r>
      <w:r>
        <w:rPr>
          <w:rFonts w:ascii="Calibri" w:cs="Calibri" w:eastAsia="Calibri" w:hAnsi="Calibri"/>
          <w:color w:val="1F2933"/>
          <w:sz w:val="21"/>
          <w:szCs w:val="21"/>
        </w:rPr>
        <w:t xml:space="preserve">The HTML dashboard is designed for managers and auditors, not just for the terminal.</w:t>
      </w:r>
    </w:p>
    <w:p>
      <w:pPr>
        <w:pStyle w:val="ListParagraph"/>
        <w:numPr>
          <w:ilvl w:val="0"/>
          <w:numId w:val="2"/>
        </w:numPr>
        <w:spacing w:after="80" w:line="276"/>
      </w:pPr>
      <w:r>
        <w:rPr>
          <w:rFonts w:ascii="Calibri" w:cs="Calibri" w:eastAsia="Calibri" w:hAnsi="Calibri"/>
          <w:b/>
          <w:bCs/>
          <w:color w:val="1F2933"/>
          <w:sz w:val="21"/>
          <w:szCs w:val="21"/>
        </w:rPr>
        <w:t xml:space="preserve">Portable &amp; shareable. </w:t>
      </w:r>
      <w:r>
        <w:rPr>
          <w:rFonts w:ascii="Calibri" w:cs="Calibri" w:eastAsia="Calibri" w:hAnsi="Calibri"/>
          <w:color w:val="1F2933"/>
          <w:sz w:val="21"/>
          <w:szCs w:val="21"/>
        </w:rPr>
        <w:t xml:space="preserve">One HTML file (plus an icons folder, or a single zip) opens in any browser, online or offline.</w:t>
      </w:r>
    </w:p>
    <w:p>
      <w:pPr>
        <w:pStyle w:val="ListParagraph"/>
        <w:numPr>
          <w:ilvl w:val="0"/>
          <w:numId w:val="2"/>
        </w:numPr>
        <w:spacing w:after="80" w:line="276"/>
      </w:pPr>
      <w:r>
        <w:rPr>
          <w:rFonts w:ascii="Calibri" w:cs="Calibri" w:eastAsia="Calibri" w:hAnsi="Calibri"/>
          <w:b/>
          <w:bCs/>
          <w:color w:val="1F2933"/>
          <w:sz w:val="21"/>
          <w:szCs w:val="21"/>
        </w:rPr>
        <w:t xml:space="preserve">CI-friendly. </w:t>
      </w:r>
      <w:r>
        <w:rPr>
          <w:rFonts w:ascii="Calibri" w:cs="Calibri" w:eastAsia="Calibri" w:hAnsi="Calibri"/>
          <w:color w:val="1F2933"/>
          <w:sz w:val="21"/>
          <w:szCs w:val="21"/>
        </w:rPr>
        <w:t xml:space="preserve">A plain-log mode makes it easy to run on a schedule in an existing pipeline at no added cost.</w:t>
      </w:r>
    </w:p>
    <w:p>
      <w:pPr>
        <w:pStyle w:val="ListParagraph"/>
        <w:numPr>
          <w:ilvl w:val="0"/>
          <w:numId w:val="2"/>
        </w:numPr>
        <w:spacing w:after="80" w:line="276"/>
      </w:pPr>
      <w:r>
        <w:rPr>
          <w:rFonts w:ascii="Calibri" w:cs="Calibri" w:eastAsia="Calibri" w:hAnsi="Calibri"/>
          <w:b/>
          <w:bCs/>
          <w:color w:val="1F2933"/>
          <w:sz w:val="21"/>
          <w:szCs w:val="21"/>
        </w:rPr>
        <w:t xml:space="preserve">Transparent &amp; auditable. </w:t>
      </w:r>
      <w:r>
        <w:rPr>
          <w:rFonts w:ascii="Calibri" w:cs="Calibri" w:eastAsia="Calibri" w:hAnsi="Calibri"/>
          <w:color w:val="1F2933"/>
          <w:sz w:val="21"/>
          <w:szCs w:val="21"/>
        </w:rPr>
        <w:t xml:space="preserve">The logic is a short, reviewable Bash script — no black box, no vendor lock-in.</w:t>
      </w:r>
    </w:p>
    <w:p>
      <w:pPr>
        <w:pStyle w:val="Heading1"/>
        <w:keepNext/>
        <w:pBdr>
          <w:bottom w:val="single" w:color="EC7211" w:sz="10"/>
        </w:pBdr>
        <w:spacing w:after="120" w:before="320"/>
      </w:pPr>
      <w:r>
        <w:rPr>
          <w:rFonts w:ascii="Calibri" w:cs="Calibri" w:eastAsia="Calibri" w:hAnsi="Calibri"/>
          <w:b/>
          <w:bCs/>
          <w:color w:val="232F3E"/>
          <w:sz w:val="30"/>
          <w:szCs w:val="30"/>
        </w:rPr>
        <w:t xml:space="preserve">6. Anticipated Questions &amp; Our Response</w:t>
      </w:r>
    </w:p>
    <w:tbl>
      <w:tblPr>
        <w:tblW w:type="dxa" w:w="9360"/>
        <w:tblBorders>
          <w:top w:val="single" w:color="D9DEE4" w:sz="4"/>
          <w:left w:val="single" w:color="D9DEE4" w:sz="4"/>
          <w:bottom w:val="single" w:color="D9DEE4" w:sz="4"/>
          <w:right w:val="single" w:color="D9DEE4" w:sz="4"/>
          <w:insideH w:val="single" w:color="D9DEE4" w:sz="4"/>
          <w:insideV w:val="single" w:color="D9DEE4" w:sz="4"/>
        </w:tblBorders>
      </w:tblPr>
      <w:tblGrid>
        <w:gridCol w:w="3200"/>
        <w:gridCol w:w="6160"/>
      </w:tblGrid>
      <w:tr>
        <w:trPr>
          <w:tblHeader/>
        </w:trPr>
        <w:tc>
          <w:tcPr>
            <w:tcW w:type="dxa" w:w="3200"/>
            <w:tcBorders>
              <w:top w:val="single" w:color="232F3E" w:sz="4"/>
              <w:left w:val="single" w:color="232F3E" w:sz="4"/>
              <w:bottom w:val="single" w:color="232F3E" w:sz="4"/>
              <w:right w:val="single" w:color="232F3E" w:sz="4"/>
            </w:tcBorders>
            <w:shd w:fill="232F3E" w:color="auto" w:val="clear"/>
            <w:tcMar>
              <w:top w:type="dxa" w:w="90"/>
              <w:left w:type="dxa" w:w="130"/>
              <w:bottom w:type="dxa" w:w="90"/>
              <w:right w:type="dxa" w:w="130"/>
            </w:tcMar>
          </w:tcPr>
          <w:p>
            <w:pPr>
              <w:spacing w:after="0" w:line="252"/>
            </w:pPr>
            <w:r>
              <w:rPr>
                <w:rFonts w:ascii="Calibri" w:cs="Calibri" w:eastAsia="Calibri" w:hAnsi="Calibri"/>
                <w:b/>
                <w:bCs/>
                <w:color w:val="FFFFFF"/>
                <w:sz w:val="20"/>
                <w:szCs w:val="20"/>
              </w:rPr>
              <w:t xml:space="preserve">Concern</w:t>
            </w:r>
          </w:p>
        </w:tc>
        <w:tc>
          <w:tcPr>
            <w:tcW w:type="dxa" w:w="6160"/>
            <w:tcBorders>
              <w:top w:val="single" w:color="232F3E" w:sz="4"/>
              <w:left w:val="single" w:color="232F3E" w:sz="4"/>
              <w:bottom w:val="single" w:color="232F3E" w:sz="4"/>
              <w:right w:val="single" w:color="232F3E" w:sz="4"/>
            </w:tcBorders>
            <w:shd w:fill="232F3E" w:color="auto" w:val="clear"/>
            <w:tcMar>
              <w:top w:type="dxa" w:w="90"/>
              <w:left w:type="dxa" w:w="130"/>
              <w:bottom w:type="dxa" w:w="90"/>
              <w:right w:type="dxa" w:w="130"/>
            </w:tcMar>
          </w:tcPr>
          <w:p>
            <w:pPr>
              <w:spacing w:after="0" w:line="252"/>
            </w:pPr>
            <w:r>
              <w:rPr>
                <w:rFonts w:ascii="Calibri" w:cs="Calibri" w:eastAsia="Calibri" w:hAnsi="Calibri"/>
                <w:b/>
                <w:bCs/>
                <w:color w:val="FFFFFF"/>
                <w:sz w:val="20"/>
                <w:szCs w:val="20"/>
              </w:rPr>
              <w:t xml:space="preserve">Response</w:t>
            </w:r>
          </w:p>
        </w:tc>
      </w:tr>
      <w:tr>
        <w:tc>
          <w:tcPr>
            <w:tcW w:type="dxa" w:w="3200"/>
            <w:tcBorders>
              <w:top w:val="single" w:color="D9DEE4" w:sz="4"/>
              <w:left w:val="single" w:color="D9DEE4" w:sz="4"/>
              <w:bottom w:val="single" w:color="D9DEE4" w:sz="4"/>
              <w:right w:val="single" w:color="D9DEE4" w:sz="4"/>
            </w:tcBorders>
            <w:shd w:fill="FFFFFF" w:color="auto" w:val="clear"/>
            <w:tcMar>
              <w:top w:type="dxa" w:w="80"/>
              <w:left w:type="dxa" w:w="130"/>
              <w:bottom w:type="dxa" w:w="80"/>
              <w:right w:type="dxa" w:w="130"/>
            </w:tcMar>
          </w:tcPr>
          <w:p>
            <w:pPr>
              <w:spacing w:after="0" w:line="264"/>
            </w:pPr>
            <w:r>
              <w:rPr>
                <w:rFonts w:ascii="Calibri" w:cs="Calibri" w:eastAsia="Calibri" w:hAnsi="Calibri"/>
                <w:b/>
                <w:bCs/>
                <w:i w:val="false"/>
                <w:iCs w:val="false"/>
                <w:color w:val="1F2933"/>
                <w:sz w:val="20"/>
                <w:szCs w:val="20"/>
              </w:rPr>
              <w:t xml:space="preserve">“Is it as thorough as AWS Config?”</w:t>
            </w:r>
          </w:p>
        </w:tc>
        <w:tc>
          <w:tcPr>
            <w:tcW w:type="dxa" w:w="6160"/>
            <w:tcBorders>
              <w:top w:val="single" w:color="D9DEE4" w:sz="4"/>
              <w:left w:val="single" w:color="D9DEE4" w:sz="4"/>
              <w:bottom w:val="single" w:color="D9DEE4" w:sz="4"/>
              <w:right w:val="single" w:color="D9DEE4" w:sz="4"/>
            </w:tcBorders>
            <w:shd w:fill="FFFFFF" w:color="auto" w:val="clear"/>
            <w:tcMar>
              <w:top w:type="dxa" w:w="80"/>
              <w:left w:type="dxa" w:w="130"/>
              <w:bottom w:type="dxa" w:w="80"/>
              <w:right w:type="dxa" w:w="130"/>
            </w:tcMar>
          </w:tcPr>
          <w:p>
            <w:pPr>
              <w:spacing w:after="0" w:line="264"/>
            </w:pPr>
            <w:r>
              <w:rPr>
                <w:rFonts w:ascii="Calibri" w:cs="Calibri" w:eastAsia="Calibri" w:hAnsi="Calibri"/>
                <w:b w:val="false"/>
                <w:bCs w:val="false"/>
                <w:i w:val="false"/>
                <w:iCs w:val="false"/>
                <w:color w:val="1F2933"/>
                <w:sz w:val="20"/>
                <w:szCs w:val="20"/>
              </w:rPr>
              <w:t xml:space="preserve">For continuous compliance and change history, Config remains the right tool. For knowing what exists and where — our need here — the script is sufficient and cost-neutral. The two are complementary; we can still scope Config narrowly to any resources under a regulatory mandate.</w:t>
            </w:r>
          </w:p>
        </w:tc>
      </w:tr>
      <w:tr>
        <w:tc>
          <w:tcPr>
            <w:tcW w:type="dxa" w:w="3200"/>
            <w:tcBorders>
              <w:top w:val="single" w:color="D9DEE4" w:sz="4"/>
              <w:left w:val="single" w:color="D9DEE4" w:sz="4"/>
              <w:bottom w:val="single" w:color="D9DEE4" w:sz="4"/>
              <w:right w:val="single" w:color="D9DEE4" w:sz="4"/>
            </w:tcBorders>
            <w:shd w:fill="F4F6F8" w:color="auto" w:val="clear"/>
            <w:tcMar>
              <w:top w:type="dxa" w:w="80"/>
              <w:left w:type="dxa" w:w="130"/>
              <w:bottom w:type="dxa" w:w="80"/>
              <w:right w:type="dxa" w:w="130"/>
            </w:tcMar>
          </w:tcPr>
          <w:p>
            <w:pPr>
              <w:spacing w:after="0" w:line="264"/>
            </w:pPr>
            <w:r>
              <w:rPr>
                <w:rFonts w:ascii="Calibri" w:cs="Calibri" w:eastAsia="Calibri" w:hAnsi="Calibri"/>
                <w:b/>
                <w:bCs/>
                <w:i w:val="false"/>
                <w:iCs w:val="false"/>
                <w:color w:val="1F2933"/>
                <w:sz w:val="20"/>
                <w:szCs w:val="20"/>
              </w:rPr>
              <w:t xml:space="preserve">“Is it secure to run?”</w:t>
            </w:r>
          </w:p>
        </w:tc>
        <w:tc>
          <w:tcPr>
            <w:tcW w:type="dxa" w:w="6160"/>
            <w:tcBorders>
              <w:top w:val="single" w:color="D9DEE4" w:sz="4"/>
              <w:left w:val="single" w:color="D9DEE4" w:sz="4"/>
              <w:bottom w:val="single" w:color="D9DEE4" w:sz="4"/>
              <w:right w:val="single" w:color="D9DEE4" w:sz="4"/>
            </w:tcBorders>
            <w:shd w:fill="F4F6F8" w:color="auto" w:val="clear"/>
            <w:tcMar>
              <w:top w:type="dxa" w:w="80"/>
              <w:left w:type="dxa" w:w="130"/>
              <w:bottom w:type="dxa" w:w="80"/>
              <w:right w:type="dxa" w:w="130"/>
            </w:tcMar>
          </w:tcPr>
          <w:p>
            <w:pPr>
              <w:spacing w:after="0" w:line="264"/>
            </w:pPr>
            <w:r>
              <w:rPr>
                <w:rFonts w:ascii="Calibri" w:cs="Calibri" w:eastAsia="Calibri" w:hAnsi="Calibri"/>
                <w:b w:val="false"/>
                <w:bCs w:val="false"/>
                <w:i w:val="false"/>
                <w:iCs w:val="false"/>
                <w:color w:val="1F2933"/>
                <w:sz w:val="20"/>
                <w:szCs w:val="20"/>
              </w:rPr>
              <w:t xml:space="preserve">Yes. It performs only read-only API calls and needs only read-only IAM. It writes no data back to AWS and requires no write permissions of any kind.</w:t>
            </w:r>
          </w:p>
        </w:tc>
      </w:tr>
      <w:tr>
        <w:tc>
          <w:tcPr>
            <w:tcW w:type="dxa" w:w="3200"/>
            <w:tcBorders>
              <w:top w:val="single" w:color="D9DEE4" w:sz="4"/>
              <w:left w:val="single" w:color="D9DEE4" w:sz="4"/>
              <w:bottom w:val="single" w:color="D9DEE4" w:sz="4"/>
              <w:right w:val="single" w:color="D9DEE4" w:sz="4"/>
            </w:tcBorders>
            <w:shd w:fill="FFFFFF" w:color="auto" w:val="clear"/>
            <w:tcMar>
              <w:top w:type="dxa" w:w="80"/>
              <w:left w:type="dxa" w:w="130"/>
              <w:bottom w:type="dxa" w:w="80"/>
              <w:right w:type="dxa" w:w="130"/>
            </w:tcMar>
          </w:tcPr>
          <w:p>
            <w:pPr>
              <w:spacing w:after="0" w:line="264"/>
            </w:pPr>
            <w:r>
              <w:rPr>
                <w:rFonts w:ascii="Calibri" w:cs="Calibri" w:eastAsia="Calibri" w:hAnsi="Calibri"/>
                <w:b/>
                <w:bCs/>
                <w:i w:val="false"/>
                <w:iCs w:val="false"/>
                <w:color w:val="1F2933"/>
                <w:sz w:val="20"/>
                <w:szCs w:val="20"/>
              </w:rPr>
              <w:t xml:space="preserve">“Who maintains it?”</w:t>
            </w:r>
          </w:p>
        </w:tc>
        <w:tc>
          <w:tcPr>
            <w:tcW w:type="dxa" w:w="6160"/>
            <w:tcBorders>
              <w:top w:val="single" w:color="D9DEE4" w:sz="4"/>
              <w:left w:val="single" w:color="D9DEE4" w:sz="4"/>
              <w:bottom w:val="single" w:color="D9DEE4" w:sz="4"/>
              <w:right w:val="single" w:color="D9DEE4" w:sz="4"/>
            </w:tcBorders>
            <w:shd w:fill="FFFFFF" w:color="auto" w:val="clear"/>
            <w:tcMar>
              <w:top w:type="dxa" w:w="80"/>
              <w:left w:type="dxa" w:w="130"/>
              <w:bottom w:type="dxa" w:w="80"/>
              <w:right w:type="dxa" w:w="130"/>
            </w:tcMar>
          </w:tcPr>
          <w:p>
            <w:pPr>
              <w:spacing w:after="0" w:line="264"/>
            </w:pPr>
            <w:r>
              <w:rPr>
                <w:rFonts w:ascii="Calibri" w:cs="Calibri" w:eastAsia="Calibri" w:hAnsi="Calibri"/>
                <w:b w:val="false"/>
                <w:bCs w:val="false"/>
                <w:i w:val="false"/>
                <w:iCs w:val="false"/>
                <w:color w:val="1F2933"/>
                <w:sz w:val="20"/>
                <w:szCs w:val="20"/>
              </w:rPr>
              <w:t xml:space="preserve">The DevOps Engineering team owns it. It is a single, well-commented Bash script; adding a new service check is a few lines. There is no infrastructure to operate.</w:t>
            </w:r>
          </w:p>
        </w:tc>
      </w:tr>
      <w:tr>
        <w:tc>
          <w:tcPr>
            <w:tcW w:type="dxa" w:w="3200"/>
            <w:tcBorders>
              <w:top w:val="single" w:color="D9DEE4" w:sz="4"/>
              <w:left w:val="single" w:color="D9DEE4" w:sz="4"/>
              <w:bottom w:val="single" w:color="D9DEE4" w:sz="4"/>
              <w:right w:val="single" w:color="D9DEE4" w:sz="4"/>
            </w:tcBorders>
            <w:shd w:fill="F4F6F8" w:color="auto" w:val="clear"/>
            <w:tcMar>
              <w:top w:type="dxa" w:w="80"/>
              <w:left w:type="dxa" w:w="130"/>
              <w:bottom w:type="dxa" w:w="80"/>
              <w:right w:type="dxa" w:w="130"/>
            </w:tcMar>
          </w:tcPr>
          <w:p>
            <w:pPr>
              <w:spacing w:after="0" w:line="264"/>
            </w:pPr>
            <w:r>
              <w:rPr>
                <w:rFonts w:ascii="Calibri" w:cs="Calibri" w:eastAsia="Calibri" w:hAnsi="Calibri"/>
                <w:b/>
                <w:bCs/>
                <w:i w:val="false"/>
                <w:iCs w:val="false"/>
                <w:color w:val="1F2933"/>
                <w:sz w:val="20"/>
                <w:szCs w:val="20"/>
              </w:rPr>
              <w:t xml:space="preserve">“What if we need continuous monitoring later?”</w:t>
            </w:r>
          </w:p>
        </w:tc>
        <w:tc>
          <w:tcPr>
            <w:tcW w:type="dxa" w:w="6160"/>
            <w:tcBorders>
              <w:top w:val="single" w:color="D9DEE4" w:sz="4"/>
              <w:left w:val="single" w:color="D9DEE4" w:sz="4"/>
              <w:bottom w:val="single" w:color="D9DEE4" w:sz="4"/>
              <w:right w:val="single" w:color="D9DEE4" w:sz="4"/>
            </w:tcBorders>
            <w:shd w:fill="F4F6F8" w:color="auto" w:val="clear"/>
            <w:tcMar>
              <w:top w:type="dxa" w:w="80"/>
              <w:left w:type="dxa" w:w="130"/>
              <w:bottom w:type="dxa" w:w="80"/>
              <w:right w:type="dxa" w:w="130"/>
            </w:tcMar>
          </w:tcPr>
          <w:p>
            <w:pPr>
              <w:spacing w:after="0" w:line="264"/>
            </w:pPr>
            <w:r>
              <w:rPr>
                <w:rFonts w:ascii="Calibri" w:cs="Calibri" w:eastAsia="Calibri" w:hAnsi="Calibri"/>
                <w:b w:val="false"/>
                <w:bCs w:val="false"/>
                <w:i w:val="false"/>
                <w:iCs w:val="false"/>
                <w:color w:val="1F2933"/>
                <w:sz w:val="20"/>
                <w:szCs w:val="20"/>
              </w:rPr>
              <w:t xml:space="preserve">We can schedule the script in CI for periodic snapshots at no added cost, and adopt Config selectively only where continuous, rule-based compliance is actually required.</w:t>
            </w:r>
          </w:p>
        </w:tc>
      </w:tr>
      <w:tr>
        <w:tc>
          <w:tcPr>
            <w:tcW w:type="dxa" w:w="3200"/>
            <w:tcBorders>
              <w:top w:val="single" w:color="D9DEE4" w:sz="4"/>
              <w:left w:val="single" w:color="D9DEE4" w:sz="4"/>
              <w:bottom w:val="single" w:color="D9DEE4" w:sz="4"/>
              <w:right w:val="single" w:color="D9DEE4" w:sz="4"/>
            </w:tcBorders>
            <w:shd w:fill="FFFFFF" w:color="auto" w:val="clear"/>
            <w:tcMar>
              <w:top w:type="dxa" w:w="80"/>
              <w:left w:type="dxa" w:w="130"/>
              <w:bottom w:type="dxa" w:w="80"/>
              <w:right w:type="dxa" w:w="130"/>
            </w:tcMar>
          </w:tcPr>
          <w:p>
            <w:pPr>
              <w:spacing w:after="0" w:line="264"/>
            </w:pPr>
            <w:r>
              <w:rPr>
                <w:rFonts w:ascii="Calibri" w:cs="Calibri" w:eastAsia="Calibri" w:hAnsi="Calibri"/>
                <w:b/>
                <w:bCs/>
                <w:i w:val="false"/>
                <w:iCs w:val="false"/>
                <w:color w:val="1F2933"/>
                <w:sz w:val="20"/>
                <w:szCs w:val="20"/>
              </w:rPr>
              <w:t xml:space="preserve">“How accurate is it?”</w:t>
            </w:r>
          </w:p>
        </w:tc>
        <w:tc>
          <w:tcPr>
            <w:tcW w:type="dxa" w:w="6160"/>
            <w:tcBorders>
              <w:top w:val="single" w:color="D9DEE4" w:sz="4"/>
              <w:left w:val="single" w:color="D9DEE4" w:sz="4"/>
              <w:bottom w:val="single" w:color="D9DEE4" w:sz="4"/>
              <w:right w:val="single" w:color="D9DEE4" w:sz="4"/>
            </w:tcBorders>
            <w:shd w:fill="FFFFFF" w:color="auto" w:val="clear"/>
            <w:tcMar>
              <w:top w:type="dxa" w:w="80"/>
              <w:left w:type="dxa" w:w="130"/>
              <w:bottom w:type="dxa" w:w="80"/>
              <w:right w:type="dxa" w:w="130"/>
            </w:tcMar>
          </w:tcPr>
          <w:p>
            <w:pPr>
              <w:spacing w:after="0" w:line="264"/>
            </w:pPr>
            <w:r>
              <w:rPr>
                <w:rFonts w:ascii="Calibri" w:cs="Calibri" w:eastAsia="Calibri" w:hAnsi="Calibri"/>
                <w:b w:val="false"/>
                <w:bCs w:val="false"/>
                <w:i w:val="false"/>
                <w:iCs w:val="false"/>
                <w:color w:val="1F2933"/>
                <w:sz w:val="20"/>
                <w:szCs w:val="20"/>
              </w:rPr>
              <w:t xml:space="preserve">It confirms real resources with native API calls rather than inferring from enabled APIs, and reports per-region detail. Results reflect a point in time, which is appropriate for inventory and review cycles.</w:t>
            </w:r>
          </w:p>
        </w:tc>
      </w:tr>
    </w:tbl>
    <w:p>
      <w:pPr>
        <w:pStyle w:val="Heading1"/>
        <w:keepNext/>
        <w:pBdr>
          <w:bottom w:val="single" w:color="EC7211" w:sz="10"/>
        </w:pBdr>
        <w:spacing w:after="120" w:before="320"/>
      </w:pPr>
      <w:r>
        <w:rPr>
          <w:rFonts w:ascii="Calibri" w:cs="Calibri" w:eastAsia="Calibri" w:hAnsi="Calibri"/>
          <w:b/>
          <w:bCs/>
          <w:color w:val="232F3E"/>
          <w:sz w:val="30"/>
          <w:szCs w:val="30"/>
        </w:rPr>
        <w:t xml:space="preserve">7. Recommendation &amp; Next Steps</w:t>
      </w:r>
    </w:p>
    <w:p>
      <w:pPr>
        <w:spacing w:after="140" w:before="0" w:line="276"/>
        <w:jc w:val="left"/>
      </w:pPr>
      <w:r>
        <w:rPr>
          <w:rFonts w:ascii="Calibri" w:cs="Calibri" w:eastAsia="Calibri" w:hAnsi="Calibri"/>
          <w:b w:val="false"/>
          <w:bCs w:val="false"/>
          <w:i w:val="false"/>
          <w:iCs w:val="false"/>
          <w:caps w:val="false"/>
          <w:color w:val="1F2933"/>
          <w:sz w:val="21"/>
          <w:szCs w:val="21"/>
        </w:rPr>
        <w:t xml:space="preserve">We recommend adopting aws_inventory_scan.sh as the standard method for AWS inventory visibility, and keeping AWS Config out of scope except where continuous, rule-based compliance is explicitly required. This captures the visibility the business needs while removing an avoidable, recurring cloud charge.</w:t>
      </w:r>
    </w:p>
    <w:p>
      <w:pPr>
        <w:pStyle w:val="ListParagraph"/>
        <w:numPr>
          <w:ilvl w:val="0"/>
          <w:numId w:val="3"/>
        </w:numPr>
        <w:spacing w:after="80" w:line="276"/>
      </w:pPr>
      <w:r>
        <w:rPr>
          <w:rFonts w:ascii="Calibri" w:cs="Calibri" w:eastAsia="Calibri" w:hAnsi="Calibri"/>
          <w:color w:val="1F2933"/>
          <w:sz w:val="21"/>
          <w:szCs w:val="21"/>
        </w:rPr>
        <w:t xml:space="preserve">Approve the script as the sanctioned inventory-visibility method for AWS.</w:t>
      </w:r>
    </w:p>
    <w:p>
      <w:pPr>
        <w:pStyle w:val="ListParagraph"/>
        <w:numPr>
          <w:ilvl w:val="0"/>
          <w:numId w:val="3"/>
        </w:numPr>
        <w:spacing w:after="80" w:line="276"/>
      </w:pPr>
      <w:r>
        <w:rPr>
          <w:rFonts w:ascii="Calibri" w:cs="Calibri" w:eastAsia="Calibri" w:hAnsi="Calibri"/>
          <w:color w:val="1F2933"/>
          <w:sz w:val="21"/>
          <w:szCs w:val="21"/>
        </w:rPr>
        <w:t xml:space="preserve">Confirm a read-only IAM role (ReadOnlyAccess or SecurityAudit) for the DevOps team to run it.</w:t>
      </w:r>
    </w:p>
    <w:p>
      <w:pPr>
        <w:pStyle w:val="ListParagraph"/>
        <w:numPr>
          <w:ilvl w:val="0"/>
          <w:numId w:val="3"/>
        </w:numPr>
        <w:spacing w:after="80" w:line="276"/>
      </w:pPr>
      <w:r>
        <w:rPr>
          <w:rFonts w:ascii="Calibri" w:cs="Calibri" w:eastAsia="Calibri" w:hAnsi="Calibri"/>
          <w:color w:val="1F2933"/>
          <w:sz w:val="21"/>
          <w:szCs w:val="21"/>
        </w:rPr>
        <w:t xml:space="preserve">Schedule a recurring run in an existing CI pipeline to produce periodic snapshots.</w:t>
      </w:r>
    </w:p>
    <w:p>
      <w:pPr>
        <w:pStyle w:val="ListParagraph"/>
        <w:numPr>
          <w:ilvl w:val="0"/>
          <w:numId w:val="3"/>
        </w:numPr>
        <w:spacing w:after="80" w:line="276"/>
      </w:pPr>
      <w:r>
        <w:rPr>
          <w:rFonts w:ascii="Calibri" w:cs="Calibri" w:eastAsia="Calibri" w:hAnsi="Calibri"/>
          <w:color w:val="1F2933"/>
          <w:sz w:val="21"/>
          <w:szCs w:val="21"/>
        </w:rPr>
        <w:t xml:space="preserve">Circulate the HTML dashboard to Finance and Security as the shared source of inventory truth.</w:t>
      </w:r>
    </w:p>
    <w:p>
      <w:pPr>
        <w:pStyle w:val="ListParagraph"/>
        <w:numPr>
          <w:ilvl w:val="0"/>
          <w:numId w:val="3"/>
        </w:numPr>
        <w:spacing w:after="80" w:line="276"/>
      </w:pPr>
      <w:r>
        <w:rPr>
          <w:rFonts w:ascii="Calibri" w:cs="Calibri" w:eastAsia="Calibri" w:hAnsi="Calibri"/>
          <w:color w:val="1F2933"/>
          <w:sz w:val="21"/>
          <w:szCs w:val="21"/>
        </w:rPr>
        <w:t xml:space="preserve">Revisit AWS Config only for any workloads with a specific continuous-compliance mandate.</w:t>
      </w:r>
    </w:p>
    <w:p>
      <w:pPr>
        <w:spacing w:after="60"/>
      </w:pPr>
    </w:p>
    <w:tbl>
      <w:tblPr>
        <w:tblW w:type="dxa" w:w="9360"/>
        <w:tblBorders>
          <w:top w:val="single" w:color="EC7211" w:sz="4"/>
          <w:left w:val="single" w:color="EC7211" w:sz="24"/>
          <w:bottom w:val="single" w:color="EC7211" w:sz="4"/>
          <w:right w:val="single" w:color="EC7211" w:sz="4"/>
          <w:insideH w:val="none" w:color="FFFFFF" w:sz="0"/>
          <w:insideV w:val="none" w:color="FFFFFF" w:sz="0"/>
        </w:tblBorders>
      </w:tblPr>
      <w:tblGrid>
        <w:gridCol w:w="9360"/>
      </w:tblGrid>
      <w:tr>
        <w:tc>
          <w:tcPr>
            <w:tcW w:type="dxa" w:w="9360"/>
            <w:shd w:fill="FCE9D9" w:color="auto" w:val="clear"/>
            <w:tcMar>
              <w:top w:type="dxa" w:w="140"/>
              <w:left w:type="dxa" w:w="200"/>
              <w:bottom w:type="dxa" w:w="140"/>
              <w:right w:type="dxa" w:w="200"/>
            </w:tcMar>
          </w:tcPr>
          <w:p>
            <w:pPr>
              <w:spacing w:after="60"/>
            </w:pPr>
            <w:r>
              <w:rPr>
                <w:rFonts w:ascii="Calibri" w:cs="Calibri" w:eastAsia="Calibri" w:hAnsi="Calibri"/>
                <w:b/>
                <w:bCs/>
                <w:caps/>
                <w:color w:val="232F3E"/>
                <w:sz w:val="22"/>
                <w:szCs w:val="22"/>
              </w:rPr>
              <w:t xml:space="preserve">The ask</w:t>
            </w:r>
          </w:p>
          <w:p>
            <w:pPr>
              <w:spacing w:after="60" w:line="276"/>
            </w:pPr>
            <w:r>
              <w:rPr>
                <w:rFonts w:ascii="Calibri" w:cs="Calibri" w:eastAsia="Calibri" w:hAnsi="Calibri"/>
                <w:color w:val="1F2933"/>
                <w:sz w:val="21"/>
                <w:szCs w:val="21"/>
              </w:rPr>
              <w:t xml:space="preserve">Approve the read-only script as our AWS inventory-visibility standard and defer AWS Config</w:t>
            </w:r>
          </w:p>
          <w:p>
            <w:pPr>
              <w:spacing w:after="0" w:line="276"/>
            </w:pPr>
            <w:r>
              <w:rPr>
                <w:rFonts w:ascii="Calibri" w:cs="Calibri" w:eastAsia="Calibri" w:hAnsi="Calibri"/>
                <w:color w:val="1F2933"/>
                <w:sz w:val="21"/>
                <w:szCs w:val="21"/>
              </w:rPr>
              <w:t xml:space="preserve">to narrowly scoped compliance cases — delivering the visibility we need at zero incremental cost.</w:t>
            </w:r>
          </w:p>
        </w:tc>
      </w:tr>
    </w:tbl>
    <w:p>
      <w:r>
        <w:br w:type="page"/>
      </w:r>
    </w:p>
    <w:p>
      <w:pPr>
        <w:pStyle w:val="Heading1"/>
        <w:keepNext/>
        <w:pBdr>
          <w:bottom w:val="single" w:color="EC7211" w:sz="10"/>
        </w:pBdr>
        <w:spacing w:after="120" w:before="320"/>
      </w:pPr>
      <w:r>
        <w:rPr>
          <w:rFonts w:ascii="Calibri" w:cs="Calibri" w:eastAsia="Calibri" w:hAnsi="Calibri"/>
          <w:b/>
          <w:bCs/>
          <w:color w:val="232F3E"/>
          <w:sz w:val="30"/>
          <w:szCs w:val="30"/>
        </w:rPr>
        <w:t xml:space="preserve">Appendix A — What the Script Inventories</w:t>
      </w:r>
    </w:p>
    <w:p>
      <w:pPr>
        <w:spacing w:after="140" w:before="0" w:line="276"/>
        <w:jc w:val="left"/>
      </w:pPr>
      <w:r>
        <w:rPr>
          <w:rFonts w:ascii="Calibri" w:cs="Calibri" w:eastAsia="Calibri" w:hAnsi="Calibri"/>
          <w:b w:val="false"/>
          <w:bCs w:val="false"/>
          <w:i w:val="false"/>
          <w:iCs w:val="false"/>
          <w:caps w:val="false"/>
          <w:color w:val="1F2933"/>
          <w:sz w:val="21"/>
          <w:szCs w:val="21"/>
        </w:rPr>
        <w:t xml:space="preserve">The tool runs targeted, read-only deep checks across the following high-value services, and always scans account-wide (global) services once in a dedicated tab:</w:t>
      </w:r>
    </w:p>
    <w:p>
      <w:pPr>
        <w:spacing w:after="40"/>
      </w:pPr>
    </w:p>
    <w:tbl>
      <w:tblPr>
        <w:tblW w:type="dxa" w:w="9360"/>
        <w:tblBorders>
          <w:top w:val="single" w:color="D9DEE4" w:sz="4"/>
          <w:left w:val="single" w:color="D9DEE4" w:sz="4"/>
          <w:bottom w:val="single" w:color="D9DEE4" w:sz="4"/>
          <w:right w:val="single" w:color="D9DEE4" w:sz="4"/>
          <w:insideH w:val="single" w:color="D9DEE4" w:sz="4"/>
          <w:insideV w:val="single" w:color="D9DEE4" w:sz="4"/>
        </w:tblBorders>
      </w:tblPr>
      <w:tblGrid>
        <w:gridCol w:w="3200"/>
        <w:gridCol w:w="6160"/>
      </w:tblGrid>
      <w:tr>
        <w:trPr>
          <w:tblHeader/>
        </w:trPr>
        <w:tc>
          <w:tcPr>
            <w:tcW w:type="dxa" w:w="3200"/>
            <w:tcBorders>
              <w:top w:val="single" w:color="232F3E" w:sz="4"/>
              <w:left w:val="single" w:color="232F3E" w:sz="4"/>
              <w:bottom w:val="single" w:color="232F3E" w:sz="4"/>
              <w:right w:val="single" w:color="232F3E" w:sz="4"/>
            </w:tcBorders>
            <w:shd w:fill="232F3E" w:color="auto" w:val="clear"/>
            <w:tcMar>
              <w:top w:type="dxa" w:w="90"/>
              <w:left w:type="dxa" w:w="130"/>
              <w:bottom w:type="dxa" w:w="90"/>
              <w:right w:type="dxa" w:w="130"/>
            </w:tcMar>
          </w:tcPr>
          <w:p>
            <w:pPr>
              <w:spacing w:after="0" w:line="252"/>
            </w:pPr>
            <w:r>
              <w:rPr>
                <w:rFonts w:ascii="Calibri" w:cs="Calibri" w:eastAsia="Calibri" w:hAnsi="Calibri"/>
                <w:b/>
                <w:bCs/>
                <w:color w:val="FFFFFF"/>
                <w:sz w:val="20"/>
                <w:szCs w:val="20"/>
              </w:rPr>
              <w:t xml:space="preserve">Category</w:t>
            </w:r>
          </w:p>
        </w:tc>
        <w:tc>
          <w:tcPr>
            <w:tcW w:type="dxa" w:w="6160"/>
            <w:tcBorders>
              <w:top w:val="single" w:color="232F3E" w:sz="4"/>
              <w:left w:val="single" w:color="232F3E" w:sz="4"/>
              <w:bottom w:val="single" w:color="232F3E" w:sz="4"/>
              <w:right w:val="single" w:color="232F3E" w:sz="4"/>
            </w:tcBorders>
            <w:shd w:fill="232F3E" w:color="auto" w:val="clear"/>
            <w:tcMar>
              <w:top w:type="dxa" w:w="90"/>
              <w:left w:type="dxa" w:w="130"/>
              <w:bottom w:type="dxa" w:w="90"/>
              <w:right w:type="dxa" w:w="130"/>
            </w:tcMar>
          </w:tcPr>
          <w:p>
            <w:pPr>
              <w:spacing w:after="0" w:line="252"/>
            </w:pPr>
            <w:r>
              <w:rPr>
                <w:rFonts w:ascii="Calibri" w:cs="Calibri" w:eastAsia="Calibri" w:hAnsi="Calibri"/>
                <w:b/>
                <w:bCs/>
                <w:color w:val="FFFFFF"/>
                <w:sz w:val="20"/>
                <w:szCs w:val="20"/>
              </w:rPr>
              <w:t xml:space="preserve">Services covered</w:t>
            </w:r>
          </w:p>
        </w:tc>
      </w:tr>
      <w:tr>
        <w:tc>
          <w:tcPr>
            <w:tcW w:type="dxa" w:w="3200"/>
            <w:tcBorders>
              <w:top w:val="single" w:color="D9DEE4" w:sz="4"/>
              <w:left w:val="single" w:color="D9DEE4" w:sz="4"/>
              <w:bottom w:val="single" w:color="D9DEE4" w:sz="4"/>
              <w:right w:val="single" w:color="D9DEE4" w:sz="4"/>
            </w:tcBorders>
            <w:shd w:fill="FFFFFF" w:color="auto" w:val="clear"/>
            <w:tcMar>
              <w:top w:type="dxa" w:w="80"/>
              <w:left w:type="dxa" w:w="130"/>
              <w:bottom w:type="dxa" w:w="80"/>
              <w:right w:type="dxa" w:w="130"/>
            </w:tcMar>
          </w:tcPr>
          <w:p>
            <w:pPr>
              <w:spacing w:after="0" w:line="264"/>
            </w:pPr>
            <w:r>
              <w:rPr>
                <w:rFonts w:ascii="Calibri" w:cs="Calibri" w:eastAsia="Calibri" w:hAnsi="Calibri"/>
                <w:b/>
                <w:bCs/>
                <w:i w:val="false"/>
                <w:iCs w:val="false"/>
                <w:color w:val="1F2933"/>
                <w:sz w:val="20"/>
                <w:szCs w:val="20"/>
              </w:rPr>
              <w:t xml:space="preserve">Compute &amp; Containers</w:t>
            </w:r>
          </w:p>
        </w:tc>
        <w:tc>
          <w:tcPr>
            <w:tcW w:type="dxa" w:w="6160"/>
            <w:tcBorders>
              <w:top w:val="single" w:color="D9DEE4" w:sz="4"/>
              <w:left w:val="single" w:color="D9DEE4" w:sz="4"/>
              <w:bottom w:val="single" w:color="D9DEE4" w:sz="4"/>
              <w:right w:val="single" w:color="D9DEE4" w:sz="4"/>
            </w:tcBorders>
            <w:shd w:fill="FFFFFF" w:color="auto" w:val="clear"/>
            <w:tcMar>
              <w:top w:type="dxa" w:w="80"/>
              <w:left w:type="dxa" w:w="130"/>
              <w:bottom w:type="dxa" w:w="80"/>
              <w:right w:type="dxa" w:w="130"/>
            </w:tcMar>
          </w:tcPr>
          <w:p>
            <w:pPr>
              <w:spacing w:after="0" w:line="264"/>
            </w:pPr>
            <w:r>
              <w:rPr>
                <w:rFonts w:ascii="Calibri" w:cs="Calibri" w:eastAsia="Calibri" w:hAnsi="Calibri"/>
                <w:b w:val="false"/>
                <w:bCs w:val="false"/>
                <w:i w:val="false"/>
                <w:iCs w:val="false"/>
                <w:color w:val="1F2933"/>
                <w:sz w:val="20"/>
                <w:szCs w:val="20"/>
              </w:rPr>
              <w:t xml:space="preserve">Amazon EC2, Amazon EKS, Amazon ECS</w:t>
            </w:r>
          </w:p>
        </w:tc>
      </w:tr>
      <w:tr>
        <w:tc>
          <w:tcPr>
            <w:tcW w:type="dxa" w:w="3200"/>
            <w:tcBorders>
              <w:top w:val="single" w:color="D9DEE4" w:sz="4"/>
              <w:left w:val="single" w:color="D9DEE4" w:sz="4"/>
              <w:bottom w:val="single" w:color="D9DEE4" w:sz="4"/>
              <w:right w:val="single" w:color="D9DEE4" w:sz="4"/>
            </w:tcBorders>
            <w:shd w:fill="F4F6F8" w:color="auto" w:val="clear"/>
            <w:tcMar>
              <w:top w:type="dxa" w:w="80"/>
              <w:left w:type="dxa" w:w="130"/>
              <w:bottom w:type="dxa" w:w="80"/>
              <w:right w:type="dxa" w:w="130"/>
            </w:tcMar>
          </w:tcPr>
          <w:p>
            <w:pPr>
              <w:spacing w:after="0" w:line="264"/>
            </w:pPr>
            <w:r>
              <w:rPr>
                <w:rFonts w:ascii="Calibri" w:cs="Calibri" w:eastAsia="Calibri" w:hAnsi="Calibri"/>
                <w:b/>
                <w:bCs/>
                <w:i w:val="false"/>
                <w:iCs w:val="false"/>
                <w:color w:val="1F2933"/>
                <w:sz w:val="20"/>
                <w:szCs w:val="20"/>
              </w:rPr>
              <w:t xml:space="preserve">AI &amp; Machine Learning</w:t>
            </w:r>
          </w:p>
        </w:tc>
        <w:tc>
          <w:tcPr>
            <w:tcW w:type="dxa" w:w="6160"/>
            <w:tcBorders>
              <w:top w:val="single" w:color="D9DEE4" w:sz="4"/>
              <w:left w:val="single" w:color="D9DEE4" w:sz="4"/>
              <w:bottom w:val="single" w:color="D9DEE4" w:sz="4"/>
              <w:right w:val="single" w:color="D9DEE4" w:sz="4"/>
            </w:tcBorders>
            <w:shd w:fill="F4F6F8" w:color="auto" w:val="clear"/>
            <w:tcMar>
              <w:top w:type="dxa" w:w="80"/>
              <w:left w:type="dxa" w:w="130"/>
              <w:bottom w:type="dxa" w:w="80"/>
              <w:right w:type="dxa" w:w="130"/>
            </w:tcMar>
          </w:tcPr>
          <w:p>
            <w:pPr>
              <w:spacing w:after="0" w:line="264"/>
            </w:pPr>
            <w:r>
              <w:rPr>
                <w:rFonts w:ascii="Calibri" w:cs="Calibri" w:eastAsia="Calibri" w:hAnsi="Calibri"/>
                <w:b w:val="false"/>
                <w:bCs w:val="false"/>
                <w:i w:val="false"/>
                <w:iCs w:val="false"/>
                <w:color w:val="1F2933"/>
                <w:sz w:val="20"/>
                <w:szCs w:val="20"/>
              </w:rPr>
              <w:t xml:space="preserve">Amazon SageMaker (endpoints and models)</w:t>
            </w:r>
          </w:p>
        </w:tc>
      </w:tr>
      <w:tr>
        <w:tc>
          <w:tcPr>
            <w:tcW w:type="dxa" w:w="3200"/>
            <w:tcBorders>
              <w:top w:val="single" w:color="D9DEE4" w:sz="4"/>
              <w:left w:val="single" w:color="D9DEE4" w:sz="4"/>
              <w:bottom w:val="single" w:color="D9DEE4" w:sz="4"/>
              <w:right w:val="single" w:color="D9DEE4" w:sz="4"/>
            </w:tcBorders>
            <w:shd w:fill="FFFFFF" w:color="auto" w:val="clear"/>
            <w:tcMar>
              <w:top w:type="dxa" w:w="80"/>
              <w:left w:type="dxa" w:w="130"/>
              <w:bottom w:type="dxa" w:w="80"/>
              <w:right w:type="dxa" w:w="130"/>
            </w:tcMar>
          </w:tcPr>
          <w:p>
            <w:pPr>
              <w:spacing w:after="0" w:line="264"/>
            </w:pPr>
            <w:r>
              <w:rPr>
                <w:rFonts w:ascii="Calibri" w:cs="Calibri" w:eastAsia="Calibri" w:hAnsi="Calibri"/>
                <w:b/>
                <w:bCs/>
                <w:i w:val="false"/>
                <w:iCs w:val="false"/>
                <w:color w:val="1F2933"/>
                <w:sz w:val="20"/>
                <w:szCs w:val="20"/>
              </w:rPr>
              <w:t xml:space="preserve">Serverless</w:t>
            </w:r>
          </w:p>
        </w:tc>
        <w:tc>
          <w:tcPr>
            <w:tcW w:type="dxa" w:w="6160"/>
            <w:tcBorders>
              <w:top w:val="single" w:color="D9DEE4" w:sz="4"/>
              <w:left w:val="single" w:color="D9DEE4" w:sz="4"/>
              <w:bottom w:val="single" w:color="D9DEE4" w:sz="4"/>
              <w:right w:val="single" w:color="D9DEE4" w:sz="4"/>
            </w:tcBorders>
            <w:shd w:fill="FFFFFF" w:color="auto" w:val="clear"/>
            <w:tcMar>
              <w:top w:type="dxa" w:w="80"/>
              <w:left w:type="dxa" w:w="130"/>
              <w:bottom w:type="dxa" w:w="80"/>
              <w:right w:type="dxa" w:w="130"/>
            </w:tcMar>
          </w:tcPr>
          <w:p>
            <w:pPr>
              <w:spacing w:after="0" w:line="264"/>
            </w:pPr>
            <w:r>
              <w:rPr>
                <w:rFonts w:ascii="Calibri" w:cs="Calibri" w:eastAsia="Calibri" w:hAnsi="Calibri"/>
                <w:b w:val="false"/>
                <w:bCs w:val="false"/>
                <w:i w:val="false"/>
                <w:iCs w:val="false"/>
                <w:color w:val="1F2933"/>
                <w:sz w:val="20"/>
                <w:szCs w:val="20"/>
              </w:rPr>
              <w:t xml:space="preserve">AWS Lambda</w:t>
            </w:r>
          </w:p>
        </w:tc>
      </w:tr>
      <w:tr>
        <w:tc>
          <w:tcPr>
            <w:tcW w:type="dxa" w:w="3200"/>
            <w:tcBorders>
              <w:top w:val="single" w:color="D9DEE4" w:sz="4"/>
              <w:left w:val="single" w:color="D9DEE4" w:sz="4"/>
              <w:bottom w:val="single" w:color="D9DEE4" w:sz="4"/>
              <w:right w:val="single" w:color="D9DEE4" w:sz="4"/>
            </w:tcBorders>
            <w:shd w:fill="F4F6F8" w:color="auto" w:val="clear"/>
            <w:tcMar>
              <w:top w:type="dxa" w:w="80"/>
              <w:left w:type="dxa" w:w="130"/>
              <w:bottom w:type="dxa" w:w="80"/>
              <w:right w:type="dxa" w:w="130"/>
            </w:tcMar>
          </w:tcPr>
          <w:p>
            <w:pPr>
              <w:spacing w:after="0" w:line="264"/>
            </w:pPr>
            <w:r>
              <w:rPr>
                <w:rFonts w:ascii="Calibri" w:cs="Calibri" w:eastAsia="Calibri" w:hAnsi="Calibri"/>
                <w:b/>
                <w:bCs/>
                <w:i w:val="false"/>
                <w:iCs w:val="false"/>
                <w:color w:val="1F2933"/>
                <w:sz w:val="20"/>
                <w:szCs w:val="20"/>
              </w:rPr>
              <w:t xml:space="preserve">Messaging &amp; Integration</w:t>
            </w:r>
          </w:p>
        </w:tc>
        <w:tc>
          <w:tcPr>
            <w:tcW w:type="dxa" w:w="6160"/>
            <w:tcBorders>
              <w:top w:val="single" w:color="D9DEE4" w:sz="4"/>
              <w:left w:val="single" w:color="D9DEE4" w:sz="4"/>
              <w:bottom w:val="single" w:color="D9DEE4" w:sz="4"/>
              <w:right w:val="single" w:color="D9DEE4" w:sz="4"/>
            </w:tcBorders>
            <w:shd w:fill="F4F6F8" w:color="auto" w:val="clear"/>
            <w:tcMar>
              <w:top w:type="dxa" w:w="80"/>
              <w:left w:type="dxa" w:w="130"/>
              <w:bottom w:type="dxa" w:w="80"/>
              <w:right w:type="dxa" w:w="130"/>
            </w:tcMar>
          </w:tcPr>
          <w:p>
            <w:pPr>
              <w:spacing w:after="0" w:line="264"/>
            </w:pPr>
            <w:r>
              <w:rPr>
                <w:rFonts w:ascii="Calibri" w:cs="Calibri" w:eastAsia="Calibri" w:hAnsi="Calibri"/>
                <w:b w:val="false"/>
                <w:bCs w:val="false"/>
                <w:i w:val="false"/>
                <w:iCs w:val="false"/>
                <w:color w:val="1F2933"/>
                <w:sz w:val="20"/>
                <w:szCs w:val="20"/>
              </w:rPr>
              <w:t xml:space="preserve">Amazon SNS, Amazon SQS</w:t>
            </w:r>
          </w:p>
        </w:tc>
      </w:tr>
      <w:tr>
        <w:tc>
          <w:tcPr>
            <w:tcW w:type="dxa" w:w="3200"/>
            <w:tcBorders>
              <w:top w:val="single" w:color="D9DEE4" w:sz="4"/>
              <w:left w:val="single" w:color="D9DEE4" w:sz="4"/>
              <w:bottom w:val="single" w:color="D9DEE4" w:sz="4"/>
              <w:right w:val="single" w:color="D9DEE4" w:sz="4"/>
            </w:tcBorders>
            <w:shd w:fill="FFFFFF" w:color="auto" w:val="clear"/>
            <w:tcMar>
              <w:top w:type="dxa" w:w="80"/>
              <w:left w:type="dxa" w:w="130"/>
              <w:bottom w:type="dxa" w:w="80"/>
              <w:right w:type="dxa" w:w="130"/>
            </w:tcMar>
          </w:tcPr>
          <w:p>
            <w:pPr>
              <w:spacing w:after="0" w:line="264"/>
            </w:pPr>
            <w:r>
              <w:rPr>
                <w:rFonts w:ascii="Calibri" w:cs="Calibri" w:eastAsia="Calibri" w:hAnsi="Calibri"/>
                <w:b/>
                <w:bCs/>
                <w:i w:val="false"/>
                <w:iCs w:val="false"/>
                <w:color w:val="1F2933"/>
                <w:sz w:val="20"/>
                <w:szCs w:val="20"/>
              </w:rPr>
              <w:t xml:space="preserve">Databases</w:t>
            </w:r>
          </w:p>
        </w:tc>
        <w:tc>
          <w:tcPr>
            <w:tcW w:type="dxa" w:w="6160"/>
            <w:tcBorders>
              <w:top w:val="single" w:color="D9DEE4" w:sz="4"/>
              <w:left w:val="single" w:color="D9DEE4" w:sz="4"/>
              <w:bottom w:val="single" w:color="D9DEE4" w:sz="4"/>
              <w:right w:val="single" w:color="D9DEE4" w:sz="4"/>
            </w:tcBorders>
            <w:shd w:fill="FFFFFF" w:color="auto" w:val="clear"/>
            <w:tcMar>
              <w:top w:type="dxa" w:w="80"/>
              <w:left w:type="dxa" w:w="130"/>
              <w:bottom w:type="dxa" w:w="80"/>
              <w:right w:type="dxa" w:w="130"/>
            </w:tcMar>
          </w:tcPr>
          <w:p>
            <w:pPr>
              <w:spacing w:after="0" w:line="264"/>
            </w:pPr>
            <w:r>
              <w:rPr>
                <w:rFonts w:ascii="Calibri" w:cs="Calibri" w:eastAsia="Calibri" w:hAnsi="Calibri"/>
                <w:b w:val="false"/>
                <w:bCs w:val="false"/>
                <w:i w:val="false"/>
                <w:iCs w:val="false"/>
                <w:color w:val="1F2933"/>
                <w:sz w:val="20"/>
                <w:szCs w:val="20"/>
              </w:rPr>
              <w:t xml:space="preserve">Amazon RDS, Amazon DynamoDB</w:t>
            </w:r>
          </w:p>
        </w:tc>
      </w:tr>
      <w:tr>
        <w:tc>
          <w:tcPr>
            <w:tcW w:type="dxa" w:w="3200"/>
            <w:tcBorders>
              <w:top w:val="single" w:color="D9DEE4" w:sz="4"/>
              <w:left w:val="single" w:color="D9DEE4" w:sz="4"/>
              <w:bottom w:val="single" w:color="D9DEE4" w:sz="4"/>
              <w:right w:val="single" w:color="D9DEE4" w:sz="4"/>
            </w:tcBorders>
            <w:shd w:fill="F4F6F8" w:color="auto" w:val="clear"/>
            <w:tcMar>
              <w:top w:type="dxa" w:w="80"/>
              <w:left w:type="dxa" w:w="130"/>
              <w:bottom w:type="dxa" w:w="80"/>
              <w:right w:type="dxa" w:w="130"/>
            </w:tcMar>
          </w:tcPr>
          <w:p>
            <w:pPr>
              <w:spacing w:after="0" w:line="264"/>
            </w:pPr>
            <w:r>
              <w:rPr>
                <w:rFonts w:ascii="Calibri" w:cs="Calibri" w:eastAsia="Calibri" w:hAnsi="Calibri"/>
                <w:b/>
                <w:bCs/>
                <w:i w:val="false"/>
                <w:iCs w:val="false"/>
                <w:color w:val="1F2933"/>
                <w:sz w:val="20"/>
                <w:szCs w:val="20"/>
              </w:rPr>
              <w:t xml:space="preserve">Web &amp; Mobile</w:t>
            </w:r>
          </w:p>
        </w:tc>
        <w:tc>
          <w:tcPr>
            <w:tcW w:type="dxa" w:w="6160"/>
            <w:tcBorders>
              <w:top w:val="single" w:color="D9DEE4" w:sz="4"/>
              <w:left w:val="single" w:color="D9DEE4" w:sz="4"/>
              <w:bottom w:val="single" w:color="D9DEE4" w:sz="4"/>
              <w:right w:val="single" w:color="D9DEE4" w:sz="4"/>
            </w:tcBorders>
            <w:shd w:fill="F4F6F8" w:color="auto" w:val="clear"/>
            <w:tcMar>
              <w:top w:type="dxa" w:w="80"/>
              <w:left w:type="dxa" w:w="130"/>
              <w:bottom w:type="dxa" w:w="80"/>
              <w:right w:type="dxa" w:w="130"/>
            </w:tcMar>
          </w:tcPr>
          <w:p>
            <w:pPr>
              <w:spacing w:after="0" w:line="264"/>
            </w:pPr>
            <w:r>
              <w:rPr>
                <w:rFonts w:ascii="Calibri" w:cs="Calibri" w:eastAsia="Calibri" w:hAnsi="Calibri"/>
                <w:b w:val="false"/>
                <w:bCs w:val="false"/>
                <w:i w:val="false"/>
                <w:iCs w:val="false"/>
                <w:color w:val="1F2933"/>
                <w:sz w:val="20"/>
                <w:szCs w:val="20"/>
              </w:rPr>
              <w:t xml:space="preserve">AWS Amplify</w:t>
            </w:r>
          </w:p>
        </w:tc>
      </w:tr>
      <w:tr>
        <w:tc>
          <w:tcPr>
            <w:tcW w:type="dxa" w:w="3200"/>
            <w:tcBorders>
              <w:top w:val="single" w:color="D9DEE4" w:sz="4"/>
              <w:left w:val="single" w:color="D9DEE4" w:sz="4"/>
              <w:bottom w:val="single" w:color="D9DEE4" w:sz="4"/>
              <w:right w:val="single" w:color="D9DEE4" w:sz="4"/>
            </w:tcBorders>
            <w:shd w:fill="FFFFFF" w:color="auto" w:val="clear"/>
            <w:tcMar>
              <w:top w:type="dxa" w:w="80"/>
              <w:left w:type="dxa" w:w="130"/>
              <w:bottom w:type="dxa" w:w="80"/>
              <w:right w:type="dxa" w:w="130"/>
            </w:tcMar>
          </w:tcPr>
          <w:p>
            <w:pPr>
              <w:spacing w:after="0" w:line="264"/>
            </w:pPr>
            <w:r>
              <w:rPr>
                <w:rFonts w:ascii="Calibri" w:cs="Calibri" w:eastAsia="Calibri" w:hAnsi="Calibri"/>
                <w:b/>
                <w:bCs/>
                <w:i w:val="false"/>
                <w:iCs w:val="false"/>
                <w:color w:val="1F2933"/>
                <w:sz w:val="20"/>
                <w:szCs w:val="20"/>
              </w:rPr>
              <w:t xml:space="preserve">Storage &amp; CDN (Global)</w:t>
            </w:r>
          </w:p>
        </w:tc>
        <w:tc>
          <w:tcPr>
            <w:tcW w:type="dxa" w:w="6160"/>
            <w:tcBorders>
              <w:top w:val="single" w:color="D9DEE4" w:sz="4"/>
              <w:left w:val="single" w:color="D9DEE4" w:sz="4"/>
              <w:bottom w:val="single" w:color="D9DEE4" w:sz="4"/>
              <w:right w:val="single" w:color="D9DEE4" w:sz="4"/>
            </w:tcBorders>
            <w:shd w:fill="FFFFFF" w:color="auto" w:val="clear"/>
            <w:tcMar>
              <w:top w:type="dxa" w:w="80"/>
              <w:left w:type="dxa" w:w="130"/>
              <w:bottom w:type="dxa" w:w="80"/>
              <w:right w:type="dxa" w:w="130"/>
            </w:tcMar>
          </w:tcPr>
          <w:p>
            <w:pPr>
              <w:spacing w:after="0" w:line="264"/>
            </w:pPr>
            <w:r>
              <w:rPr>
                <w:rFonts w:ascii="Calibri" w:cs="Calibri" w:eastAsia="Calibri" w:hAnsi="Calibri"/>
                <w:b w:val="false"/>
                <w:bCs w:val="false"/>
                <w:i w:val="false"/>
                <w:iCs w:val="false"/>
                <w:color w:val="1F2933"/>
                <w:sz w:val="20"/>
                <w:szCs w:val="20"/>
              </w:rPr>
              <w:t xml:space="preserve">Amazon S3, Amazon CloudFront</w:t>
            </w:r>
          </w:p>
        </w:tc>
      </w:tr>
    </w:tbl>
    <w:p>
      <w:pPr>
        <w:spacing w:after="60"/>
      </w:pPr>
    </w:p>
    <w:p>
      <w:pPr>
        <w:spacing w:after="140" w:before="0" w:line="276"/>
        <w:jc w:val="left"/>
      </w:pPr>
      <w:r>
        <w:rPr>
          <w:rFonts w:ascii="Calibri" w:cs="Calibri" w:eastAsia="Calibri" w:hAnsi="Calibri"/>
          <w:b w:val="false"/>
          <w:bCs w:val="false"/>
          <w:i/>
          <w:iCs/>
          <w:caps w:val="false"/>
          <w:color w:val="6B7280"/>
          <w:sz w:val="18"/>
          <w:szCs w:val="18"/>
        </w:rPr>
        <w:t xml:space="preserve">The check list is easily extended: adding a new service is a short function plus one registry entry. Every service is classified as “Active with Resources” or “No Active Resources Found.”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E4" w:sz="4"/>
      </w:pBdr>
      <w:spacing w:before="40"/>
      <w:jc w:val="center"/>
    </w:pPr>
    <w:r>
      <w:rPr>
        <w:rFonts w:ascii="Calibri" w:cs="Calibri" w:eastAsia="Calibri" w:hAnsi="Calibri"/>
        <w:color w:val="6B7280"/>
        <w:sz w:val="16"/>
        <w:szCs w:val="16"/>
      </w:rPr>
      <w:t xml:space="preserve">Zero-Cost AWS Resource Inventory     |     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E4" w:sz="4"/>
      </w:pBdr>
      <w:spacing w:after="0"/>
      <w:jc w:val="right"/>
    </w:pPr>
    <w:r>
      <w:rPr>
        <w:rFonts w:ascii="Calibri" w:cs="Calibri" w:eastAsia="Calibri" w:hAnsi="Calibri"/>
        <w:caps/>
        <w:color w:val="6B7280"/>
        <w:sz w:val="16"/>
        <w:szCs w:val="16"/>
      </w:rPr>
      <w:t xml:space="preserve">AWS Inventory — Cost Optimization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EC7211"/>
      </w:rPr>
    </w:lvl>
  </w:abstractNum>
  <w:abstractNum w:abstractNumId="3" w15:restartNumberingAfterBreak="0">
    <w:multiLevelType w:val="hybridMultilevel"/>
    <w:lvl w:ilvl="0" w15:tentative="1">
      <w:start w:val="1"/>
      <w:numFmt w:val="decimal"/>
      <w:lvlText w:val="%1."/>
      <w:lvlJc w:val="left"/>
      <w:pPr>
        <w:ind w:left="400" w:hanging="260"/>
      </w:pPr>
      <w:rPr>
        <w:b/>
        <w:bCs/>
        <w:color w:val="EC7211"/>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Zero-Cost AWS Resource Inventory</dc:title>
  <dc:creator>DevOps Engineering Team</dc:creator>
  <dc:description>A cost-neutral alternative to AWS Config and managed inventory services</dc:description>
  <cp:lastModifiedBy>Un-named</cp:lastModifiedBy>
  <cp:revision>1</cp:revision>
  <dcterms:created xsi:type="dcterms:W3CDTF">2026-07-10T13:20:14.860Z</dcterms:created>
  <dcterms:modified xsi:type="dcterms:W3CDTF">2026-07-10T13:20:14.873Z</dcterms:modified>
</cp:coreProperties>
</file>

<file path=docProps/custom.xml><?xml version="1.0" encoding="utf-8"?>
<Properties xmlns="http://schemas.openxmlformats.org/officeDocument/2006/custom-properties" xmlns:vt="http://schemas.openxmlformats.org/officeDocument/2006/docPropsVTypes"/>
</file>