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4321228" cy="35597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228" cy="3559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widowControl w:val="0"/>
        <w:spacing w:before="0" w:line="240" w:lineRule="auto"/>
        <w:ind w:left="0" w:right="417" w:firstLine="0"/>
        <w:jc w:val="center"/>
        <w:rPr>
          <w:rFonts w:ascii="Arial" w:cs="Arial" w:eastAsia="Arial" w:hAnsi="Arial"/>
          <w:color w:val="000000"/>
          <w:sz w:val="28"/>
          <w:szCs w:val="28"/>
        </w:rPr>
      </w:pPr>
      <w:r>
        <w:rPr>
          <w:rFonts w:ascii="Arial" w:cs="Arial" w:eastAsia="Arial" w:hAnsi="Arial"/>
          <w:color w:val="000000"/>
          <w:sz w:val="28"/>
          <w:szCs w:val="28"/>
          <w:rtl w:val="0"/>
        </w:rPr>
        <w:t>Manual Tecnico HU 295592 · 416_SIN_HU762 — Integracion con SARLAFT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left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center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color w:val="1f5c9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5c99"/>
          <w:sz w:val="22"/>
          <w:szCs w:val="22"/>
          <w:rtl w:val="0"/>
        </w:rPr>
        <w:t xml:space="preserve">MANUAL TECNICO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4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44"/>
          <w:szCs w:val="44"/>
          <w:rtl w:val="0"/>
        </w:rPr>
        <w:t>Integracion con SARLAFT — Validacion FCC y Diligenciamiento</w:t>
      </w:r>
    </w:p>
    <w:p w:rsidR="00000000" w:rsidDel="00000000" w:rsidP="00000000" w:rsidRDefault="00000000" w:rsidRPr="00000000" w14:paraId="00000015">
      <w:pPr>
        <w:spacing w:after="160" w:before="40" w:lineRule="auto"/>
        <w:rPr/>
      </w:pPr>
      <w:r>
        <w:rPr>
          <w:rFonts w:ascii="Calibri" w:cs="Calibri" w:eastAsia="Calibri" w:hAnsi="Calibri"/>
          <w:b w:val="1"/>
          <w:bCs w:val="1"/>
          <w:color w:val="5a5a5a"/>
          <w:sz w:val="24"/>
          <w:szCs w:val="24"/>
          <w:rtl w:val="0"/>
        </w:rPr>
        <w:t>HU 295592 · 416_SIN_HU762 — Integracion con SARLAFT</w:t>
      </w:r>
    </w:p>
    <w:tbl>
      <w:tblPr>
        <w:tblStyle w:val="Table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0b3561" w:val="clea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Elaboro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561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3561" w:val="clea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Aprobo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>
              <w:rPr>
                <w:sz w:val="20"/>
                <w:szCs w:val="20"/>
                <w:rtl w:val="0"/>
              </w:rPr>
              <w:t>Hernan Felipe Nieto — Linktic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before="1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>
      <w:r>
        <w:drawing>
          <wp:inline>
            <wp:extent cx="5760720" cy="2704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laft-paso6-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5760720" cy="13899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rlaft-paso6-panel-zo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992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r:id="rId7" w:type="default"/>
      <w:footerReference r:id="rId8" w:type="default"/>
      <w:pgSz w:h="15840" w:w="12240" w:orient="portrait"/>
      <w:pgMar w:bottom="1134" w:top="1928" w:left="1247" w:right="1247" w:header="510" w:footer="510"/>
      <w:pgNumType w:start="1"/>
    </w:sectPr>
    <w:p w:rsidR="00000000" w:rsidDel="00000000" w:rsidP="00000000" w:rsidRDefault="00000000" w:rsidRPr="00000000" w14:paraId="0000001D">
      <w:pPr>
        <w:spacing w:after="60" w:before="4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6"/>
          <w:szCs w:val="26"/>
          <w:rtl w:val="0"/>
        </w:rPr>
        <w:t>Contenido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>1. Servicio de Integracion con SARLAFT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I. Informacion General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II. Arquitectura y flujo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III. Endpoints internos del backend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IV. Servicios externos Red5G / AGS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V. Configuracion (property keys)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VI. Ejemplos cURL (con evidencia real)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VII. DTOs / modelos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VIII. Estados SARLAFT y de reclamacion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IX. Codigos de respuesta y mensajes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 xml:space="preserve">     X. Notas de seguridad y discrepancias</w:t>
      </w:r>
    </w:p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I. Informacion General</w:t>
      </w:r>
    </w:p>
    <w:tbl>
      <w:tblPr>
        <w:tblStyle w:val="Table3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Nombre del Servicio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Integracion con SARLAFT (validacion FCC y diligenciamiento de formularios)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Historia de Usuario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HU 295592 · 416_SIN_HU762 — Integracion con SARLAFT (relacionada con HU 405969)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Proveedor externo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SARLAFT Red5G / AGS — API Gateway AWS (us-east-1)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Backends involucrados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dev-ms-core-core (monolito, consumo directo del API Red5G) y dev-ms-core-integraciones (hub /api/sarlaft)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Ambiente (URLs reales)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UAT — API Gateway AWS (us-east-1)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Autenticacion externa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>Cognito (2 user pools): CRM 4ST1DDrOD y Customer Qm7vpkeJa; token Bearer (Idtoken), expira 3600 s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Persistencia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sz w:val="20"/>
                <w:szCs w:val="20"/>
                <w:rtl w:val="0"/>
              </w:rPr>
              <w:t>Tabla compartida dbo.sarlaft_consulta; PDF radicado en SGDEA con tipoRadicado = SARLAFT</w:t>
            </w:r>
          </w:p>
        </w:tc>
      </w:tr>
      <w:tr>
        <w:trPr>
          <w:cantSplit w:val="0"/>
          <w:tblHeader w:val="0"/>
        </w:trPr>
        <w:tc>
          <w:tcPr>
            <w:shd w:fill="edeff2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20"/>
                <w:szCs w:val="20"/>
                <w:rtl w:val="0"/>
              </w:rPr>
              <w:t>Content-Type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rtl w:val="0"/>
              </w:rPr>
              <w:t>application/json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II. Arquitectura y flujo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La integracion vive en dos backends con roles distintos. El MONOLITO (dev-ms-core-core, paquete co.com.spn.cun3) consume directamente el API Red5G para validar la FCC (Ficha de Cliente / Conocimiento del Cliente) y el callback, decodifica el PDF que devuelve SARLAFT y lo radica en SGDEA, y persiste el resultado en dbo.sarlaft_consulta. El flujo se dispara desde la actualizacion de una reclamacion siniestrada (ReclamacionSiniestradaServiceImpl -&gt; SarlaftIntegrationServiceImpl.procesarConsultaSarlaft), dentro de un try/catch: una falla de SARLAFT NO rompe la actualizacion de la reclamacion.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El HUB de integraciones (dev-ms-core-integraciones, paquete co.linktic.integracion) expone /api/sarlaft y orquesta el envio de diligenciamiento (creacion de gestion GES-SIN en Red5G cuando el reclamante no tiene FCC vigente), la verificacion de FCC vigente (validate-document), las consultas recurrentes y la tolerancia a fallas. Para consultar el estado almacenado delega en el monolito por RabbitMQ (SarlaftIntegrationServiceImpl.consultarEstadoSarlaft).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Flujo validarFcc (monolito): (1) POST al endpoint de token con {username, password} -&gt; token en data.Idtoken; (2) GET validate-document/{documentType}/{documentNumber}?form_type=FCC-STA|FCC-SIM con Authorization: Bearer &lt;token&gt;; (3) de la respuesta se leen status_code/status, vigency/vigente y file (PDF base64); (4) si el estado es vigente y almacena PDF, se radica en SGDEA. El monolito llama con form_type = FCC-SIM (literal en SarlaftIntegrationServiceImpl); el valor por defecto de la propiedad es FCC-STA.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Flujo diligenciamiento (integraciones): (1) login customer_login -&gt; data.Idtoken; (2) POST management/gestions/external_customer con Bearer y body GES-SIN. La recurrencia (DiligenciamientoRetryService) reenvia el correo cada 7 dias SOLO mientras la reclamacion este en estado RESERVADO (11009); se detiene si esta anulada (11019) o declinada (11011). Si Red5G esta caido, el endpoint responde 200 y encola para reintento (error-interval PT5M) sin romper el flujo.</w:t>
      </w:r>
    </w:p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III. Endpoints internos del backend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a) Monolito dev-ms-core-core — base /sarlaf</w:t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Endpoint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Entrada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Salida / Notas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POST /sarlaf/callback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Body RootCallbackSarlaft: gestion_type, apply_simplified, url_callback, refresh_token, area, linkage{role_code, document_number, document_type, check_digit}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ResponseSarlaftDTO. Callback invocado por Red5G.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GET /sarlaf/validarFcc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Query: tipoDocumento (req), numeroDocumento (req), formType (opt; def FCC-STA)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ResponseSarlaftDTO {statusCode, data, message, error}. data: status_code/status, vigency/vigente, file (PDF base64).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b) Integraciones dev-ms-core-integraciones — base /api/sarlaft (ingress: /api/integraciones/api/sarlaft/...)</w:t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Endpoint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Entrada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Salida / Notas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POST /api/sarlaft/enviar-diligenciamiento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Body EnvioDiligenciamientoRequestDTO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GeneralResponseDTO. Crea gestion GES-SIN en Red5G y envia correo. Tolerante a fallas (200 + encola).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POST /api/sarlaft/estudio-tecnico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Body EnvioDiligenciamientoRequestDTO (motivo forzado a "Documento SARLAFT")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GeneralResponseDTO. Reenvio por estudio tecnico (estado 11004).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GET /api/sarlaft/consulta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Query: reclamacionId (Long), numeroDocumento, tipoDocumento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GeneralResponseDTO.response = SarlaftConsultaResponseDTO. Consulta estado via RabbitMQ al monolito. Header statusCode=0 = OK.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IV. Servicios externos Red5G / AGS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IMPORTANTE: cada servicio externo valida contra un User Pool de Cognito distinto; usar el token equivocado devuelve 401. Login CRM (pool 4ST1DDrOD) habilita validate-document y callback; login Customer (pool Qm7vpkeJa) habilita external_customer.</w:t>
      </w:r>
    </w:p>
    <w:tbl>
      <w:tblPr>
        <w:tblStyle w:val="Table5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Servicio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Metodo y URL (UAT)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Auth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Uso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Login CRM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POST https://ro43pbi9ca.execute-api.us-east-1.amazonaws.com/login/oauth/authenticate/v1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body {username, password} (admin_crm@red5g.co) -&gt; data.Idtoken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Token para validate-document y callback (pool 4ST1DDrOD).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Login Customer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POST https://r1v3k5bn1m.execute-api.us-east-1.amazonaws.com/customer_login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body {username, password} (customer@service.com) -&gt; data.Idtoken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Token para external_customer (pool Qm7vpkeJa).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validate-document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GET https://7ifsjev272.execute-api.us-east-1.amazonaws.com/fcc/validate-document/{documentType}/{documentNumber}?form_type=FCC-STA|FCC-SIM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Bearer (token CRM)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Consulta FCC/vigencia. Devuelve vigency, status_code, file (PDF base64).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external_customer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POST https://7ifsjev272.execute-api.us-east-1.amazonaws.com/management/gestions/external_customer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Bearer (token Customer)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Crea gestion GES-SIN. EFECTO SECUNDARIO: crea gestion real (no idempotente).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callback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POST https://7ifsjev272.execute-api.us-east-1.amazonaws.com/sarlaft/callback/v1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Bearer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>
              <w:rPr>
                <w:sz w:val="19"/>
                <w:szCs w:val="19"/>
                <w:rtl w:val="0"/>
              </w:rPr>
              <w:t>Notificacion / callback de SARLAFT.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V. Configuracion (property keys)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Las property keys usan el prefijo "sarlaff" (con doble f, es el nombre real en el codigo, no "sarlaft"). El set completo esta en dev-ms-core-integraciones/application.properties; el monolito usa el subconjunto de token/callback/fcc.</w:t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Property key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Env var (default)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Valor UAT / observacion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sarlaff.red5g.url.token / .token.url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SARLAFF_URL_TOKEN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ro43pbi9ca.../login/oauth/authenticate/v1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sarlaff.red5g.user.token / .token.user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SARLAFF_USER_TOKEN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admin_crm@red5g.co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sarlaff.red5g.passwd.token / .token.passwd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SARLAFF_PASSWD_TOKEN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(credencial CRM)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sarlaff.red5g.op.fcc / .fcc.url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SARLAFF_URL_FCC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7ifsjev272.../fcc/validate-document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sarlaff.red5g.op.callback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SARLAFF_URL_CALLBACK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7ifsjev272.../sarlaft/callback/v1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sarlaff.red5g.fcc.form-type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SARLAFF_FCC_FORM_TYPE (FCC-STA)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FCC-STA (monolito usa FCC-SIM en la llamada)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sarlaff.red5g.customer.login.url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SARLAFF_CUSTOMER_LOGIN_URL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r1v3k5bn1m.../customer_login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sarlaff.red5g.customer.login.user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SARLAFF_CUSTOMER_LOGIN_USER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customer@service.com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sarlaff.red5g.customer.login.passwd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SARLAFF_CUSTOMER_LOGIN_PASSWD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(credencial Customer)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sarlaff.red5g.gestion.external.url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SARLAFF_GESTION_EXTERNAL_URL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7ifsjev272.../management/gestions/external_customer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sarlaff.diligenciamiento.gestion-type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SARLAFF_GESTION_TYPE (GES-SIN)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GES-SIN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sarlaff.diligenciamiento.apply-simplified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SARLAFF_APPLY_SIMPLIFIED (false)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false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sarlaff.diligenciamiento.continue-flow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SARLAFF_CONTINUE_FLOW (true)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true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sarlaff.diligenciamiento.has-attorney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SARLAFF_HAS_ATTORNEY (false)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false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sarlaff.diligenciamiento.retry.enabled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SARLAFF_RETRY_ENABLED (true)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true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sarlaff.diligenciamiento.retry.interval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SARLAFF_RETRY_INTERVAL (P7D)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cada 7 dias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sarlaff.diligenciamiento.retry.error-interval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SARLAFF_RETRY_ERROR_INTERVAL (PT5M)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reintento por caida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sarlaff.diligenciamiento.retry.max-duration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SARLAFF_RETRY_MAX_DURATION (PT0S)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PT0S = sin tope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sarlaff.diligenciamiento.estado-reservado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SARLAFF_ESTADO_RESERVADO (11009)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RESERVADO por solicitud de documentos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sarlaff.diligenciamiento.estados-detener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SARLAFF_ESTADOS_DETENER (11019,11011)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anulada / declinada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VI. Ejemplos cURL (con evidencia real)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Las capturas de evidencia se obtuvieron ejecutando los curls de solo lectura contra UAT. NO se ejecuto external_customer por crear una gestion real (efecto secundario).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a) Login CRM (obtener token para validate-document)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-X POST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"https://ro43pbi9ca.execute-api.us-east-1.amazonaws.com/login/oauth/authenticate/v1"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"Content-Type: application/json"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-d '{"username":"admin_crm@red5g.co","password":"3t05XsV*lslGt4$"}'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Evidencia (HTTP 200):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"data": 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"AccessToken": "eyJraWQiOiJtd3V3ZUhJVkRLR...",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"Idtoken": "eyJraWQiOiJTM2I0Q2V1R0NYe...",   // (1077 chars) — usar como Bearer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"ExpiresIn": 3600,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"TokenType": "Bearer",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"RefreshToken": "eyJjdHkiOiJKV1QiLCJlbmMiO..."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},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"message": "Peticion exitosa",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"error": false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b) validate-document (consultar FCC / vigencia)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"https://7ifsjev272.execute-api.us-east-1.amazonaws.com/fcc/validate-document/CC/1114440153?form_type=FCC-STA"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"Authorization: Bearer &lt;IDTOKEN_CRM&gt;"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Evidencia (HTTP 200):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"statusCode": 200,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"data": 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"vigency": false,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"status": "No tiene ninguna solicitud.",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"status_code": "without_forms",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"description": "Nunca se ha iniciado una solicitud en el aplicativo.",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"gestion": true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},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"message": "Peticion exitosa",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"error": false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c) Login Customer (obtener token para external_customer)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-X POST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"https://r1v3k5bn1m.execute-api.us-east-1.amazonaws.com/customer_login"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"Content-Type: application/json"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-d '{"username":"customer@service.com","password":"PositivaFCC2024*-"}'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Evidencia (HTTP 200): misma forma que el login CRM -&gt; data.{AccessToken, Idtoken, ExpiresIn:3600, TokenType:"Bearer", RefreshToken}, message "Peticion exitosa", error false.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d) external_customer — crear gestion GES-SIN (NO ejecutado: efecto secundario)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-X POST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"https://7ifsjev272.execute-api.us-east-1.amazonaws.com/management/gestions/external_customer"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"Authorization: Bearer &lt;IDTOKEN_CUSTOMER&gt;"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"Content-Type: application/json"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-d '{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"gestion_type": "GES-SIN",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"product": "&lt;producto&gt;",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"policy_number": "&lt;poliza&gt;",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"claim_incident_number": "&lt;numero_siniestro&gt;",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"apply_simplified": false,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"continue_flow": true,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"beneficiaries": [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{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"document_number": "1114440153",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"document_type": "CC",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"email": "beneficiario@correo.com",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"phone_number": "3000000000",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"first_name": "NOMBRE",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"lastname": "APELLIDO",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  "has_attorney": false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  }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]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}'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Respuesta esperada (HTTP 201): { "error": false, "message": "...", "data": { "gestion_id": 836, "gestion_form_ids": [ { "id_gestion_form": 868 } ] } }.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e) Endpoints internos del backend</w:t>
      </w:r>
    </w:p>
    <w:tbl>
      <w:tblPr>
        <w:tblStyle w:val="Table6"/>
        <w:tblpPr w:leftFromText="180" w:rightFromText="180" w:topFromText="180" w:bottomFromText="180" w:vertAnchor="text" w:horzAnchor="text" w:tblpX="-31.999999999999886" w:tblpY="0"/>
        <w:tblW w:w="9705.0" w:type="dxa"/>
        <w:jc w:val="left"/>
        <w:tblLayout w:type="fixed"/>
        <w:tblLook w:val="04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4" w:val="single"/>
              <w:left w:color="d0d7de" w:space="0" w:sz="4" w:val="single"/>
              <w:bottom w:color="d0d7de" w:space="0" w:sz="4" w:val="single"/>
              <w:right w:color="d0d7de" w:space="0" w:sz="4" w:val="single"/>
            </w:tcBorders>
            <w:shd w:fill="f4f6f8" w:val="clear"/>
            <w:tcMar>
              <w:top w:w="120.0" w:type="dxa"/>
              <w:bottom w:w="120.0" w:type="dxa"/>
            </w:tcMar>
          </w:tcPr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# Monolito: validar FCC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"http://&lt;host-core&gt;/sarlaf/validarFcc?tipoDocumento=CC&amp;numeroDocumento=1114440153&amp;formType=FCC-SIM"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"Authorization: Bearer &lt;token-app&gt;"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# Integraciones: enviar diligenciamiento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-X POST "http://&lt;host-integraciones&gt;/api/integraciones/api/sarlaft/enviar-diligenciamiento"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-H "Content-Type: application/json" \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-d '{"reclamacionId":123,"policyNumber":"SA35...","claimIncidentNumber":"...",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"product":"...","documentType":"CC","documentNumber":"1114440153",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        "email":"x@y.com","phoneNumber":"3000000000","firstName":"N","lastName":"A"}'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/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# Integraciones: consultar estado</w:t>
            </w:r>
          </w:p>
          <w:p>
            <w:pPr>
              <w:spacing w:after="0" w:lineRule="auto"/>
              <w:rPr/>
            </w:pPr>
            <w:r>
              <w:rPr>
                <w:rFonts w:ascii="Consolas" w:cs="Consolas" w:eastAsia="Consolas" w:hAnsi="Consolas"/>
                <w:color w:val="1b2b3a"/>
                <w:sz w:val="18"/>
                <w:szCs w:val="18"/>
                <w:rtl w:val="0"/>
              </w:rPr>
              <w:t xml:space="preserve">curl -s "http://&lt;host-integraciones&gt;/api/integraciones/api/sarlaft/consulta?reclamacionId=123&amp;numeroDocumento=1114440153&amp;tipoDocumento=CC"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VII. DTOs / modelos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a) EnvioDiligenciamientoRequestDTO (enviar-diligenciamiento / estudio-tecnico)</w:t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Campo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Tipo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Descripcion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reclamacionId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Long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Id de la reclamacion siniestrada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policyNumber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Numero de poliza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claimIncidentNumber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Numero de siniestro/incidente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product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Producto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documentType / documentNumber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Documento del reclamante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email / phoneNumber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Datos de contacto para el correo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firstName / secondName / lastName / secondLastName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Nombres y apellidos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motivo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Motivo (forzado a "Documento SARLAFT" en estudio-tecnico)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b) GestionExternaRequestDTO (body a Red5G, @JsonInclude NON_NULL)</w:t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Campo (JSON)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Tipo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Descripcion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gestion_type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GES-SIN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product / policy_number / claim_incident_number / certificate_number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Datos de la poliza/siniestro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apply_simplified / continue_flow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Boolean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Banderas de flujo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beneficiaries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List&lt;BeneficiarioGestionDTO&gt;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document_number, document_type, check_digit, email, phone_number, first_name, second_name, lastname, second_lastname, has_attorney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c) ResponseSarlaftDTO (respuesta FCC y callback del monolito)</w:t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Campo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Tipo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Descripcion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statusCode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int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Codigo de estado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data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Object (Map)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status_code/status, vigency/vigente, file (PDF base64)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message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Mensaje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error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boolean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Indicador de error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d) SarlaftConsultaResponseDTO (estado persistido)</w:t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Campo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Tipo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Descripcion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id / reclamacionId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Long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Identificadores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numeroDocumento / tipoDocumento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Documento del reclamante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estado / resultado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Estado y resultado SARLAFT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observaciones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Observaciones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tienePdf / pdfUrl / radicadoSgdea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Boolean/String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PDF y radicado en SGDEA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fechaConsulta / fechaCreacion / fechaModificacion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DateTime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Formato yyyy-MM-dd HH:mm:ss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Tabla persistente dbo.sarlaft_consulta (compartida monolito/integraciones): id, reclamacion_id, numero_documento_reclamante(30), tipo_documento(10), estado(30), fecha_consulta, usuario_id, resultado(30), observaciones(500), pdf_url(500), fecha_creacion, fecha_modificacion. El PDF se radica en ReclamacionSiniestradaRadicadosSgdea con tipoRadicado = "SARLAFT".</w:t>
      </w:r>
    </w:p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VIII. Estados SARLAFT y de reclamacion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a) EstadoSarlaftEnum (codigo -&gt; descripcion)</w:t>
      </w:r>
    </w:p>
    <w:tbl>
      <w:tblPr>
        <w:tblStyle w:val="Table4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Codigo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Descripcion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Vigente / almacena PDF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active_form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Formulario firmado/vigente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Si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sent_active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Enviado y vigente (&lt; 7 dias)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Si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sarlaft_approved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Aprobado por SARLAFT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Si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without_forms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Sin formularios (default de codigos nulos/desconocidos)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not_sent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Iniciado pero no enviado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sent_expired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Enviado pero vencido (&gt; 7 dias)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expired_form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Formulario vencido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pending_interview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Pendiente entrevista SARLAFT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pending_sarlaft_revision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Retenido por OGIR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sarlaft_rejected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Rechazado por SARLAFT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error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Error en la consulta (requiere reintento)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>
              <w:rPr>
                <w:rFonts w:ascii="Consolas" w:cs="Consolas" w:eastAsia="Consolas" w:hAnsi="Consolas"/>
                <w:b w:val="0"/>
                <w:bCs w:val="0"/>
                <w:color w:val="222222"/>
                <w:sz w:val="19"/>
                <w:szCs w:val="19"/>
                <w:rtl w:val="0"/>
              </w:rPr>
              <w:t>fallo_almacenamiento_sgdea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1e7a46"/>
                <w:sz w:val="19"/>
                <w:szCs w:val="19"/>
                <w:rtl w:val="0"/>
              </w:rPr>
              <w:t>Fallo al almacenar en SGDEA (requiere reintento)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Rule="auto"/>
        <w:rPr/>
      </w:pPr>
      <w:r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>b) Estados de reclamacion usados por la recurrencia (dbo.tipos_constantes)</w:t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Codigo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Estado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Efecto en la recurrencia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11009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RESERVADO por solicitud de documentos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Unico estado en el que se reenvia el diligenciamiento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11004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ESTUDIO TECNICO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Disparador de estudio-tecnico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11011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DECLINADO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Detiene la recurrencia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11019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ANULADO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Detiene la recurrencia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IX. Codigos de respuesta y mensajes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El hub de integraciones responde con GeneralResponseDTO y header statusCode (ServerApiStatusCode): 0 = OK; -1 error inesperado; -200 token invalido; -201 token expirado; -202 refresh token invalido; -203 token en lista negra; -204 token requerido; -205 error procesando refresh token.</w:t>
      </w:r>
    </w:p>
    <w:tbl>
      <w:tblPr>
        <w:tblStyle w:val="Table11"/>
        <w:tblW w:w="974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Situacion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Codigo / estado</w:t>
            </w:r>
          </w:p>
        </w:tc>
        <w:tc>
          <w:tcPr>
            <w:shd w:fill="1f5c99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>Mensaje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Consulta estado OK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statusCode 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Estado SARLAFT consultado exitosamente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Sin registro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statusCode 0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No se encontro consulta SARLAFT para el documento especificado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Diligenciamiento OK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statusCode 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Correo de diligenciamiento SARLAFT enviado exitosamente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Estudio tecnico OK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statusCode 0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Consulta SARLAFT reenviada por estudio tecnico (motivo: Documento SARLAFT)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SARLAFT caido (tolerancia)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HTTP 200, statusCode 0</w:t>
            </w:r>
          </w:p>
        </w:tc>
        <w:tc>
          <w:tcPr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SARLAFT no disponible; solicitud encolada para reintento automatico</w:t>
            </w:r>
          </w:p>
        </w:tc>
      </w:tr>
      <w:tr>
        <w:trPr>
          <w:cantSplit w:val="0"/>
          <w:tblHeader w:val="0"/>
        </w:trPr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0b3561"/>
                <w:sz w:val="19"/>
                <w:szCs w:val="19"/>
                <w:rtl w:val="0"/>
              </w:rPr>
              <w:t>Error consultando SARLAFT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statusCode != 0</w:t>
            </w:r>
          </w:p>
        </w:tc>
        <w:tc>
          <w:tcPr>
            <w:shd w:fill="fafbfc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>
              <w:rPr>
                <w:rFonts w:ascii="Calibri" w:cs="Calibri" w:eastAsia="Calibri" w:hAnsi="Calibri"/>
                <w:b w:val="0"/>
                <w:bCs w:val="0"/>
                <w:color w:val="222222"/>
                <w:sz w:val="19"/>
                <w:szCs w:val="19"/>
                <w:rtl w:val="0"/>
              </w:rPr>
              <w:t>Error inesperado al consultar a Sarlaft / Error al llamar al endpoint: %s</w:t>
            </w:r>
          </w:p>
        </w:tc>
      </w:tr>
    </w:tbl>
    <w:p w:rsidR="00000000" w:rsidDel="00000000" w:rsidP="00000000" w:rsidRDefault="00000000" w:rsidRPr="00000000" w14:paraId="00000020">
      <w:pPr>
        <w:spacing w:after="20" w:before="0" w:lineRule="auto"/>
        <w:rPr/>
      </w:pPr>
      <w:r>
        <w:rPr>
          <w:rFonts w:ascii="Calibri" w:cs="Calibri" w:eastAsia="Calibri" w:hAnsi="Calibri"/>
          <w:b w:val="0"/>
          <w:bCs w:val="0"/>
          <w:color w:val="222222"/>
          <w:sz w:val="21"/>
          <w:szCs w:val="21"/>
          <w:rtl w:val="0"/>
        </w:rPr>
        <w:t>X. Notas de seguridad y discrepancias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(1) SEGURIDAD: en dev-ms-core-integraciones/.env estan las credenciales reales de Red5G (admin_crm@red5g.co y customer@service.com con sus contrasenas) y en TokenManagerSarlaft.java hay clientId/clientSecret OAuth2 hardcodeados apuntando al portal Liferay UAT. En produccion deben provenir de AWS Secrets Manager (convencion APPENV_), no del repo. Este manual las incluye por ser de UAT y a peticion del solicitante; tratarlas como sensibles.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(2) DISCREPANCIA de configuracion: SARLAFF_URL_FCC aparece truncado con sufijo "/{documentType" en siniestros/env, emisiones/helm y siniestros/helm; en integraciones/.env la base es limpia (/fcc/validate-document) y el codigo agrega /{documentType}/{documentNumber}. Verificar el valor efectivo por ambiente.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(3) form_type: el valor por defecto de la propiedad es FCC-STA, pero el monolito llama a validarFcc con el literal FCC-SIM. Confirmar cual aplica por caso de uso.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(4) Existe un SarlaftService legacy (co.com.spn.cun3.services.sarlaft) que crea usuario via portal Liferay UAT, aparentemente sin uso en el flujo actual de FCC.</w:t>
      </w:r>
    </w:p>
    <w:p w:rsidR="00000000" w:rsidDel="00000000" w:rsidP="00000000" w:rsidRDefault="00000000" w:rsidRPr="00000000" w14:paraId="0000001E">
      <w:pPr>
        <w:spacing w:after="20" w:before="0" w:lineRule="auto"/>
        <w:rPr/>
      </w:pPr>
      <w:r>
        <w:rPr>
          <w:rFonts w:ascii="Calibri" w:cs="Calibri" w:eastAsia="Calibri" w:hAnsi="Calibri"/>
          <w:b w:val="1"/>
          <w:bCs w:val="1"/>
          <w:color w:val="0b3561"/>
          <w:sz w:val="21"/>
          <w:szCs w:val="21"/>
          <w:rtl w:val="0"/>
        </w:rPr>
        <w:t>XI. Evidencia: pantalla SARLAFT en el frontend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Pantalla real del paso 6 "Sarlaft" del wizard de radicacion de reclamaciones (ReclamacionStepperV3 / InformacionSarlaft.vue), capturada en QA (corevida-qa-v2) sobre una reclamacion de prueba creada con la poliza SA3510003179 y el asegurado CC 1082884011 (reclamante EDWIN CARDENAS). El panel consume GET /api/integraciones/api/sarlaft/consulta y muestra Tipo de Documento, Numero de Documento, Resultado y "Tiene PDF?". Como el reclamante NO tiene FCC vigente, el front indica "El reclamante no cuenta con FCC. El diligenciamiento se envia automaticamente; puede relanzarlo" y habilita el boton "Relanzar diligenciamiento SARLAFT" (equivale a POST /api/sarlaft/enviar-diligenciamiento). Coincide con el resultado real de la consulta SARLAFT para ese documento: "Sin formularios" (without_forms), sin PDF.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Figura 1. Wizard de radicacion en el paso 6 "Sarlaft" (encabezado del panel Informacion Sarlaft).</w:t>
      </w:r>
    </w:p>
    <w:p w:rsidR="00000000" w:rsidDel="00000000" w:rsidP="00000000" w:rsidRDefault="00000000" w:rsidRPr="00000000" w14:paraId="0000003D">
      <w:pPr>
        <w:spacing w:after="80" w:lineRule="auto"/>
        <w:jc w:val="both"/>
        <w:rPr/>
      </w:pPr>
      <w:r>
        <w:rPr>
          <w:rFonts w:ascii="Calibri" w:cs="Calibri" w:eastAsia="Calibri" w:hAnsi="Calibri"/>
          <w:b w:val="0"/>
          <w:bCs w:val="0"/>
          <w:sz w:val="21"/>
          <w:szCs w:val="21"/>
          <w:rtl w:val="0"/>
        </w:rPr>
        <w:t>Figura 2. Detalle del panel: Tiene PDF = No, mensaje "El reclamante no cuenta con FCC" y boton "Relanzar diligenciamiento SARLAFT".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a5a5a"/>
        <w:sz w:val="16"/>
        <w:szCs w:val="16"/>
        <w:u w:val="none"/>
        <w:shd w:fill="auto" w:val="clear"/>
        <w:vertAlign w:val="baseline"/>
        <w:rtl w:val="0"/>
      </w:rPr>
      <w:t xml:space="preserve">Clasificacion: Publica   ·   Elaboro: Jhon Diaz (Linktic)   ·   Pagina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W w:type="auto" w:w="0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3120"/>
      <w:gridCol w:w="3120"/>
      <w:gridCol w:w="3120"/>
    </w:tblGrid>
    <w:tr>
      <w:tc>
        <w:tcPr>
          <w:tcW w:type="dxa" w:w="3120"/>
        </w:tcPr>
        <w:p>
          <w:r>
            <w:rPr>
              <w:sz w:val="18"/>
            </w:rPr>
            <w:drawing>
              <wp:inline>
                <wp:extent cx="822960" cy="6781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6781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</w:tcPr>
        <w:p>
          <w:r>
            <w:rPr>
              <w:sz w:val="18"/>
            </w:rPr>
            <w:t>PROCESO:</w:t>
            <w:br/>
            <w:t>{titulo}</w:t>
          </w:r>
        </w:p>
      </w:tc>
      <w:tc>
        <w:tcPr>
          <w:tcW w:type="dxa" w:w="3120"/>
        </w:tcPr>
        <w:p>
          <w:r>
            <w:rPr>
              <w:sz w:val="18"/>
            </w:rPr>
            <w:t>Version: 1</w:t>
            <w:br/>
            <w:t>Clasificacion: Publica</w:t>
            <w:br/>
            <w:t>Fecha: {fecha}</w:t>
            <w:br/>
            <w:br/>
            <w:t>FORMATO</w:t>
          </w:r>
        </w:p>
      </w:tc>
    </w:tr>
    <w:tr>
      <w:tc>
        <w:tcPr>
          <w:tcW w:type="dxa" w:w="3120"/>
        </w:tcPr>
        <w:p>
          <w:r>
            <w:rPr>
              <w:sz w:val="18"/>
            </w:rPr>
            <w:t>Aprobo:</w:t>
          </w:r>
        </w:p>
      </w:tc>
      <w:tc>
        <w:tcPr>
          <w:tcW w:type="dxa" w:w="3120"/>
        </w:tcPr>
        <w:p>
          <w:r>
            <w:rPr>
              <w:sz w:val="18"/>
            </w:rPr>
            <w:t>Reviso:</w:t>
          </w:r>
        </w:p>
      </w:tc>
      <w:tc>
        <w:tcPr>
          <w:tcW w:type="dxa" w:w="3120"/>
        </w:tcPr>
        <w:p>
          <w:r>
            <w:rPr>
              <w:sz w:val="18"/>
            </w:rPr>
            <w:t>Elaboro: {elaboro}</w:t>
          </w:r>
        </w:p>
      </w:tc>
    </w:tr>
  </w:tbl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