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/>
        <w:color w:val="008080"/>
        <w:sz w:val="13"/>
      </w:rPr>
      <w:t>All tests are performed at an NABL-accredited, ISO 9001-certified and CAP-accredited medical laboratory.</w:t>
    </w:r>
  </w:p>
  <w:p>
    <w:pPr>
      <w:jc w:val="center"/>
    </w:pPr>
    <w:r>
      <w:rPr>
        <w:rFonts w:ascii="Segoe UI" w:hAnsi="Segoe UI"/>
        <w:b/>
        <w:color w:val="008080"/>
        <w:sz w:val="14"/>
      </w:rPr>
      <w:t>The result are reviewed and Verified by an MD pathologist.</w:t>
    </w:r>
  </w:p>
  <w:p>
    <w:pPr>
      <w:tabs>
        <w:tab w:pos="10545" w:val="right"/>
      </w:tabs>
    </w:pPr>
    <w:r>
      <w:rPr>
        <w:rFonts w:ascii="Segoe UI" w:hAnsi="Segoe UI"/>
        <w:sz w:val="13"/>
      </w:rPr>
      <w:t>Report generated: 25 Sep 2026 • customercare@zylkhealth.com • +91 9894377521</w:t>
      <w:tab/>
      <w:t xml:space="preserve">Page </w:t>
    </w:r>
    <w:fldSimple w:instr="PAGE"/>
    <w:r>
      <w:rPr>
        <w:rFonts w:ascii="Segoe UI" w:hAnsi="Segoe UI"/>
        <w:sz w:val="13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