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20"/>
      </w:pPr>
      <w:r>
        <w:rPr>
          <w:rFonts w:ascii="Segoe UI" w:hAnsi="Segoe UI"/>
          <w:b/>
          <w:color w:val="0F172A"/>
          <w:sz w:val="28"/>
        </w:rPr>
        <w:t>Laboratory Report</w:t>
      </w:r>
    </w:p>
    <w:p>
      <w:pPr>
        <w:spacing w:before="0" w:after="60"/>
      </w:pPr>
      <w:r>
        <w:rPr>
          <w:rFonts w:ascii="Segoe UI" w:hAnsi="Segoe UI"/>
          <w:color w:val="64748B"/>
          <w:sz w:val="14"/>
        </w:rPr>
        <w:t>Summary of results that need attention, followed by the complete results.</w:t>
      </w:r>
    </w:p>
    <w:tbl>
      <w:tblPr>
        <w:tblW w:type="dxa" w:w="10544"/>
        <w:jc w:val="center"/>
        <w:tblLayout w:type="fixed"/>
        <w:tblLook w:firstColumn="1" w:firstRow="1" w:lastColumn="0" w:lastRow="0" w:noHBand="0" w:noVBand="1" w:val="04A0"/>
      </w:tblPr>
      <w:tblGrid>
        <w:gridCol w:w="1474"/>
        <w:gridCol w:w="2438"/>
        <w:gridCol w:w="1474"/>
        <w:gridCol w:w="2494"/>
        <w:gridCol w:w="170"/>
        <w:gridCol w:w="2494"/>
      </w:tblGrid>
      <w:tr>
        <w:trPr>
          <w:cantSplit/>
        </w:trPr>
        <w:tc>
          <w:tcPr>
            <w:tcW w:type="dxa" w:w="1474"/>
            <w:tcMar>
              <w:top w:w="22" w:type="dxa"/>
              <w:bottom w:w="22" w:type="dxa"/>
              <w:left w:w="60" w:type="dxa"/>
              <w:right w:w="20" w:type="dxa"/>
            </w:tcMar>
            <w:vAlign w:val="center"/>
            <w:tcBorders>
              <w:top w:val="single" w:sz="12" w:space="0" w:color="006666"/>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PATIENT NAME</w:t>
            </w:r>
          </w:p>
        </w:tc>
        <w:tc>
          <w:tcPr>
            <w:tcW w:type="dxa" w:w="2438"/>
            <w:tcMar>
              <w:top w:w="22" w:type="dxa"/>
              <w:bottom w:w="22" w:type="dxa"/>
              <w:left w:w="20" w:type="dxa"/>
              <w:right w:w="6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F172A"/>
                <w:sz w:val="15"/>
              </w:rPr>
              <w:t>KANAGAVALLI K</w:t>
            </w:r>
          </w:p>
        </w:tc>
        <w:tc>
          <w:tcPr>
            <w:tcW w:type="dxa" w:w="1474"/>
            <w:tcMar>
              <w:top w:w="22" w:type="dxa"/>
              <w:bottom w:w="22" w:type="dxa"/>
              <w:left w:w="60" w:type="dxa"/>
              <w:right w:w="2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06666"/>
                <w:sz w:val="12"/>
              </w:rPr>
              <w:t>TEST PACKAGE</w:t>
            </w:r>
          </w:p>
        </w:tc>
        <w:tc>
          <w:tcPr>
            <w:tcW w:type="dxa" w:w="2494"/>
            <w:tcMar>
              <w:top w:w="22" w:type="dxa"/>
              <w:bottom w:w="22" w:type="dxa"/>
              <w:left w:w="20" w:type="dxa"/>
              <w:right w:w="60" w:type="dxa"/>
            </w:tcMar>
            <w:vAlign w:val="center"/>
            <w:tcBorders>
              <w:top w:val="single" w:sz="12" w:space="0" w:color="006666"/>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WOMEN HAIRFALL SCREENING ADVANCED</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2494"/>
            <w:vMerge w:val="restart"/>
            <w:shd w:val="clear" w:color="auto" w:fill="087571"/>
            <w:tcMar>
              <w:top w:w="0" w:type="dxa"/>
              <w:bottom w:w="0" w:type="dxa"/>
              <w:left w:w="0" w:type="dxa"/>
              <w:right w:w="0" w:type="dxa"/>
            </w:tcMar>
            <w:tcBorders>
              <w:top w:val="single" w:sz="12" w:space="0" w:color="006666"/>
              <w:bottom w:val="single" w:sz="12" w:space="0" w:color="006666"/>
              <w:left w:val="single" w:sz="12" w:space="0" w:color="006666"/>
              <w:right w:val="single" w:sz="12" w:space="0" w:color="006666"/>
            </w:tcBorders>
            <w:vAlign w:val="center"/>
          </w:tcPr>
          <w:p>
            <w:pPr>
              <w:spacing w:before="0" w:after="0"/>
              <w:jc w:val="center"/>
            </w:pPr>
            <w:r>
              <w:drawing>
                <wp:inline xmlns:a="http://schemas.openxmlformats.org/drawingml/2006/main" xmlns:pic="http://schemas.openxmlformats.org/drawingml/2006/picture">
                  <wp:extent cx="1565999" cy="1674000"/>
                  <wp:docPr id="1" name="Picture 1"/>
                  <wp:cNvGraphicFramePr>
                    <a:graphicFrameLocks noChangeAspect="1"/>
                  </wp:cNvGraphicFramePr>
                  <a:graphic>
                    <a:graphicData uri="http://schemas.openxmlformats.org/drawingml/2006/picture">
                      <pic:pic>
                        <pic:nvPicPr>
                          <pic:cNvPr id="0" name="female_hero_card.png"/>
                          <pic:cNvPicPr/>
                        </pic:nvPicPr>
                        <pic:blipFill>
                          <a:blip r:embed="rId10"/>
                          <a:stretch>
                            <a:fillRect/>
                          </a:stretch>
                        </pic:blipFill>
                        <pic:spPr>
                          <a:xfrm>
                            <a:off x="0" y="0"/>
                            <a:ext cx="1565999" cy="1674000"/>
                          </a:xfrm>
                          <a:prstGeom prst="rect"/>
                        </pic:spPr>
                      </pic:pic>
                    </a:graphicData>
                  </a:graphic>
                </wp:inline>
              </w:drawing>
            </w: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SAMPLE DATE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15 Sep 2026</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DATE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 Sep 2026</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PHONE NUMBER</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+91 9894377521</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ID / LAB 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1509074825/FE254</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SPECIMEN</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Blood Test</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STATUS</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59669"/>
                <w:sz w:val="15"/>
              </w:rPr>
              <w:t>Final – Verified</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AGE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21</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PINCODE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627007</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2664"/>
            <w:gridSpan w:val="4"/>
            <w:tcMar>
              <w:top w:w="24" w:type="dxa"/>
              <w:bottom w:w="24" w:type="dxa"/>
              <w:left w:w="60" w:type="dxa"/>
              <w:right w:w="60" w:type="dxa"/>
            </w:tcMar>
            <w:vAlign w:val="center"/>
            <w:tcBorders>
              <w:top w:val="none"/>
              <w:bottom w:val="single" w:sz="12" w:space="0" w:color="006666"/>
              <w:left w:val="single" w:sz="12" w:space="0" w:color="006666"/>
              <w:right w:val="single" w:sz="12" w:space="0" w:color="006666"/>
            </w:tcBorders>
          </w:tcPr>
          <w:p>
            <w:pPr>
              <w:spacing w:before="0" w:after="0" w:line="240" w:lineRule="auto"/>
              <w:jc w:val="left"/>
            </w:pPr>
            <w:r/>
            <w:r>
              <w:rPr>
                <w:rFonts w:ascii="Segoe UI" w:hAnsi="Segoe UI"/>
                <w:b/>
                <w:color w:val="0F172A"/>
                <w:sz w:val="14"/>
              </w:rPr>
              <w:t>ADDRESS:  INGENX LABS Pvt Ltd., P18, Shifa Golden City, Tirunelveli. - 627007</w:t>
            </w:r>
          </w:p>
        </w:tc>
        <w:tc>
          <w:tcPr>
            <w:tcW w:type="dxa" w:w="1758"/>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bl>
    <w:p>
      <w:pPr>
        <w:spacing w:before="80" w:after="20"/>
      </w:pPr>
      <w:r>
        <w:rPr>
          <w:rFonts w:ascii="Segoe UI" w:hAnsi="Segoe UI"/>
          <w:b/>
          <w:color w:val="0F172A"/>
          <w:sz w:val="21"/>
        </w:rPr>
        <w:t>Results Needing Attention</w:t>
      </w:r>
    </w:p>
    <w:p>
      <w:pPr>
        <w:spacing w:before="0" w:after="40"/>
      </w:pPr>
      <w:r>
        <w:rPr>
          <w:rFonts w:ascii="Segoe UI" w:hAnsi="Segoe UI"/>
          <w:b/>
          <w:color w:val="DC2626"/>
          <w:sz w:val="13"/>
        </w:rPr>
        <w:t xml:space="preserve">Bold red rows = needs prompt clinical review. </w:t>
      </w:r>
      <w:r>
        <w:rPr>
          <w:rFonts w:ascii="Segoe UI" w:hAnsi="Segoe UI"/>
          <w:color w:val="64748B"/>
          <w:sz w:val="13"/>
        </w:rPr>
        <w:t>All values are shown exactly as reported by the laboratory.</w:t>
      </w:r>
    </w:p>
    <w:tbl>
      <w:tblPr>
        <w:tblW w:type="dxa" w:w="10544"/>
        <w:jc w:val="center"/>
        <w:tblLayout w:type="fixed"/>
        <w:tblLook w:firstColumn="1" w:firstRow="1" w:lastColumn="0" w:lastRow="0" w:noHBand="0" w:noVBand="1" w:val="04A0"/>
      </w:tblPr>
      <w:tblGrid>
        <w:gridCol w:w="1814"/>
        <w:gridCol w:w="3175"/>
        <w:gridCol w:w="1020"/>
        <w:gridCol w:w="907"/>
        <w:gridCol w:w="1247"/>
        <w:gridCol w:w="2381"/>
      </w:tblGrid>
      <w:tr>
        <w:trPr>
          <w:tblHeader/>
          <w:cantSplit/>
        </w:trPr>
        <w:tc>
          <w:tcPr>
            <w:tcW w:type="dxa" w:w="1814"/>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AREA</w:t>
            </w:r>
          </w:p>
        </w:tc>
        <w:tc>
          <w:tcPr>
            <w:tcW w:type="dxa" w:w="3175"/>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TEST</w:t>
            </w:r>
          </w:p>
        </w:tc>
        <w:tc>
          <w:tcPr>
            <w:tcW w:type="dxa" w:w="1020"/>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RESULT</w:t>
            </w:r>
          </w:p>
        </w:tc>
        <w:tc>
          <w:tcPr>
            <w:tcW w:type="dxa" w:w="907"/>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FLAG</w:t>
            </w:r>
          </w:p>
        </w:tc>
        <w:tc>
          <w:tcPr>
            <w:tcW w:type="dxa" w:w="1247"/>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381"/>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REFERENCE RANGE</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Infertility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Non-pregnant: 4.79 - 23.3 | Postmenopausal: 4.37 - 21.1</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Metabolic</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1.9 - 2.5</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Vitamins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30 - 100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Arthritis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2.4 - 5.1</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37 - 165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13 - 45</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162 - 368</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Thyroid</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µIU/mL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0.35 - 4.94</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12.0 - 15.0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10^6 / µL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3.8 - 4.8</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83.0 - 101.0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pg</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27.0 - 32.0</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31.5 - 34.5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39.0 - 46.0</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11.6 - 14.0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Differential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1 - 6</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Absolute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10³ / µL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0.02 - 0.5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9.6 - 15.2</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19.7 - 42.4</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0"/>
      </w:pPr>
      <w:r>
        <w:rPr>
          <w:rFonts w:ascii="Segoe UI" w:hAnsi="Segoe UI"/>
          <w:b/>
          <w:color w:val="0D4D44"/>
          <w:sz w:val="13"/>
        </w:rPr>
        <w:t>COMMERCIAL PROFILE / PACKAGED PANEL</w:t>
      </w:r>
    </w:p>
    <w:p>
      <w:pPr>
        <w:spacing w:before="0" w:after="20"/>
      </w:pPr>
      <w:r>
        <w:rPr>
          <w:rFonts w:ascii="Segoe UI" w:hAnsi="Segoe UI"/>
          <w:b/>
          <w:color w:val="0F172A"/>
          <w:sz w:val="26"/>
        </w:rPr>
        <w:t>Complete Hemogram / CBC Report</w:t>
      </w:r>
    </w:p>
    <w:p>
      <w:pPr>
        <w:spacing w:before="0" w:after="60"/>
      </w:pPr>
      <w:r>
        <w:rPr>
          <w:rFonts w:ascii="Segoe UI" w:hAnsi="Segoe UI"/>
          <w:color w:val="64748B"/>
          <w:sz w:val="14"/>
        </w:rPr>
        <w:t xml:space="preserve">Whole blood – EDTA specimen – Automated hematology analysis • </w:t>
      </w:r>
      <w:r>
        <w:rPr>
          <w:rFonts w:ascii="Segoe UI" w:hAnsi="Segoe UI"/>
          <w:b/>
          <w:color w:val="0F172A"/>
          <w:sz w:val="14"/>
        </w:rPr>
        <w:t>FINAL</w:t>
      </w:r>
    </w:p>
    <w:tbl>
      <w:tblPr>
        <w:tblW w:type="dxa" w:w="10544"/>
        <w:jc w:val="center"/>
        <w:tblLayout w:type="fixed"/>
        <w:tblLook w:firstColumn="1" w:firstRow="1" w:lastColumn="0" w:lastRow="0" w:noHBand="0" w:noVBand="1" w:val="04A0"/>
      </w:tblPr>
      <w:tblGrid>
        <w:gridCol w:w="3628"/>
        <w:gridCol w:w="2041"/>
        <w:gridCol w:w="1360"/>
        <w:gridCol w:w="1247"/>
        <w:gridCol w:w="2268"/>
      </w:tblGrid>
      <w:tr>
        <w:trPr>
          <w:tblHeader/>
          <w:cantSplit/>
        </w:trPr>
        <w:tc>
          <w:tcPr>
            <w:tcW w:type="dxa" w:w="362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TEST NAME</w:t>
            </w:r>
          </w:p>
        </w:tc>
        <w:tc>
          <w:tcPr>
            <w:tcW w:type="dxa" w:w="2041"/>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METHODOLOGY</w:t>
            </w:r>
          </w:p>
        </w:tc>
        <w:tc>
          <w:tcPr>
            <w:tcW w:type="dxa" w:w="1360"/>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OBSERVED</w:t>
            </w:r>
          </w:p>
        </w:tc>
        <w:tc>
          <w:tcPr>
            <w:tcW w:type="dxa" w:w="1247"/>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26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BIO. REF. INTERVAL</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RED BLOOD CELL INDICES</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SLS-Hemoglobin Method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9.7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12.0 - 15.0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CPH Detection / 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38.7</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36.0 - 46.0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4.87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10^6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3.8 - 4.8</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79.5</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83.0 - 101.0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19.9</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pg</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27.0 - 32.0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25.1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31.5 - 34.5</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Red Cell Distribution Width (RDW-SD)</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60.5</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39.0 - 46.0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Red Cell Distribution Width (RDW-CV)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21.4</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11.6 - 14.0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RBC Distribution Width Index (RDWI)</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349.3</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*Refer Note below</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16.3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*Refer Note below</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WHITE BLOOD CELLS</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FC</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8.38</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4.0 - 10.0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Neutrophils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50.3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40 - 80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Lymphocytes Percentage</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35.4</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20 - 40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Monocytes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6.2</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2 - 10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Eosinophils Percentage</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6.7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1 - 6</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Basophils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1.1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0 - 2</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Immature Granulocytes Percentage (IG%)</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0.3</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0.0 - 0.4</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0.0 - 0.5</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ABSOLUTE LEUKOCYTE COUNT</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4.22</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2.0 - 7.0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2.97</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1.0 - 3.0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0.52</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0.2 - 1.0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0.09</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0.02 - 0.1</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0.56</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0.02 - 0.5</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0.0 - 0.3</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0.01</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0.0 - 0.5</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PLATELET COUNT &amp; INDICES</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376</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150 - 410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9.1</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6.5 - 12.0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17.9</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19.7 - 42.4</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0.34</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0.19 - 0.39</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9.4</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9.6 - 15.2</w:t>
            </w:r>
          </w:p>
        </w:tc>
      </w:tr>
    </w:tbl>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8FAFC"/>
            <w:tcMar>
              <w:top w:w="30" w:type="dxa"/>
              <w:bottom w:w="30" w:type="dxa"/>
              <w:left w:w="100" w:type="dxa"/>
              <w:right w:w="100" w:type="dxa"/>
            </w:tcMar>
            <w:tcBorders>
              <w:top w:val="single" w:sz="4" w:space="0" w:color="CBD5E1"/>
              <w:bottom w:val="single" w:sz="4" w:space="0" w:color="CBD5E1"/>
              <w:left w:val="single" w:sz="24" w:space="0" w:color="0D4D44"/>
              <w:right w:val="single" w:sz="4" w:space="0" w:color="CBD5E1"/>
            </w:tcBorders>
          </w:tcPr>
          <w:p>
            <w:pPr>
              <w:spacing w:before="0" w:after="0"/>
            </w:pPr>
            <w:r>
              <w:rPr>
                <w:rFonts w:ascii="Segoe UI" w:hAnsi="Segoe UI"/>
                <w:b/>
                <w:color w:val="0F172A"/>
                <w:sz w:val="13"/>
              </w:rPr>
              <w:t xml:space="preserve">CLINICAL NOTES: </w:t>
            </w:r>
            <w:r>
              <w:rPr>
                <w:rFonts w:ascii="Segoe UI" w:hAnsi="Segoe UI"/>
                <w:color w:val="1E293B"/>
                <w:sz w:val="13"/>
              </w:rPr>
              <w:t>Microcytic hypochromic anaemia; predominantly normocytic normochromic cells with mild anisocytosis and ovalocytes. Platelets appear adequate on peripheral smear.</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0"/>
      </w:pPr>
      <w:r>
        <w:rPr>
          <w:rFonts w:ascii="Segoe UI" w:hAnsi="Segoe UI"/>
          <w:b/>
          <w:color w:val="0D4D44"/>
          <w:sz w:val="13"/>
        </w:rPr>
        <w:t>TIER 3: INDIVIDUAL ANALYTES (FULL LAB PARAMETERS)</w:t>
      </w:r>
    </w:p>
    <w:p>
      <w:pPr>
        <w:spacing w:before="0" w:after="20"/>
      </w:pPr>
      <w:r>
        <w:rPr>
          <w:rFonts w:ascii="Segoe UI" w:hAnsi="Segoe UI"/>
          <w:b/>
          <w:color w:val="0F172A"/>
          <w:sz w:val="26"/>
        </w:rPr>
        <w:t>Comprehensive Diagnostic Health Report</w:t>
      </w:r>
    </w:p>
    <w:p>
      <w:pPr>
        <w:spacing w:before="0" w:after="40"/>
      </w:pPr>
      <w:r>
        <w:rPr>
          <w:rFonts w:ascii="Segoe UI" w:hAnsi="Segoe UI"/>
          <w:color w:val="64748B"/>
          <w:sz w:val="14"/>
        </w:rPr>
        <w:t>Complete laboratory audit of all tested biomarkers, methodologies and biological reference intervals.</w:t>
      </w:r>
    </w:p>
    <w:tbl>
      <w:tblPr>
        <w:tblW w:type="dxa" w:w="10544"/>
        <w:jc w:val="center"/>
        <w:tblLayout w:type="fixed"/>
        <w:tblLook w:firstColumn="1" w:firstRow="1" w:lastColumn="0" w:lastRow="0" w:noHBand="0" w:noVBand="1" w:val="04A0"/>
      </w:tblPr>
      <w:tblGrid>
        <w:gridCol w:w="453"/>
        <w:gridCol w:w="2608"/>
        <w:gridCol w:w="3175"/>
        <w:gridCol w:w="1077"/>
        <w:gridCol w:w="963"/>
        <w:gridCol w:w="2268"/>
      </w:tblGrid>
      <w:tr>
        <w:trPr>
          <w:tblHeader/>
          <w:cantSplit/>
        </w:trPr>
        <w:tc>
          <w:tcPr>
            <w:tcW w:type="dxa" w:w="453"/>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SR.</w:t>
            </w:r>
          </w:p>
        </w:tc>
        <w:tc>
          <w:tcPr>
            <w:tcW w:type="dxa" w:w="260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CATEGORY / DEPARTMENT</w:t>
            </w:r>
          </w:p>
        </w:tc>
        <w:tc>
          <w:tcPr>
            <w:tcW w:type="dxa" w:w="3175"/>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DESCRIPTION / TEST NAME</w:t>
            </w:r>
          </w:p>
        </w:tc>
        <w:tc>
          <w:tcPr>
            <w:tcW w:type="dxa" w:w="1077"/>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OBSERVED VALUE</w:t>
            </w:r>
          </w:p>
        </w:tc>
        <w:tc>
          <w:tcPr>
            <w:tcW w:type="dxa" w:w="963"/>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26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NORMAL RANGE</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FOLLICLE STIMULATING HORMONE (FSH)</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4.33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Follicular: 3.5 - 12.5 | Mid-cycle: 4.7 - 21.5 | Luteal: 1.7 - 7.7 | Postmenopausal: 25.8 - 134.8</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SEX HORMONE BINDING GLOBULIN (SHBG)</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36.4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nmol/L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18.3 - 54.1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LUTEINISING HORMONE (LH)</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10.7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Follicular: 2.4 - 12.6 | Mid-cycle: 14.0 - 95.6 | Luteal: 1.0 - 11.4 | Postmenopausal: 7.7 - 58.5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Non-pregnant: 4.79 - 23.3 | Postmenopausal: 4.37 - 21.1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1.9 - 2.5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CORTISOL</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13.78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4.46 - 22.7</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30 - 100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VITAMIN B-12</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343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pg/mL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211 - 911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CARDIAC RISK MARKERS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C-REACTIVE PROTEIN (CRP)</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0.61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0.0 - 5.0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ANTI NUCLEAR ANTIBODIES (ANA)</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0.05</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OD ratio</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&lt; 0.80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2.4 - 5.1</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37 - 165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IRON BINDING CAPACITY (TIBC)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480</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215 - 535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13 - 45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162 - 368</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FERRITIN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10.4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10 - 291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ELEMENTS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SERUM ZINC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124.4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46 - 150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HORMONE</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TESTOSTERONE</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6 - 82</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INFECTIOUS DISEASE</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VDRL (RPR) FOR SYPHILIS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NON REACTIVE</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NON REACTIVE</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RENAL</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CALCIUM</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9.28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8.8 - 10.6</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TRIIODOTHYRONINE (T3)</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76</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58 - 159</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THYROXINE (T4)</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6.1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4.87 - 11.72</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0.35 - 4.94</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12.0 - 15.0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38.7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36.0 - 46.0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10^6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3.8 - 4.8</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83.0 - 101.0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pg</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27.0 - 32.0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31.5 - 34.5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39.0 - 46.0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11.6 - 14.0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INDEX (RDWI)</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349.3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16.3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8.38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4.0 - 10.0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NEUTROPHILS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50.3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40 - 80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LYMPHOCYTES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35.4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20 - 40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MONOCYTES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6.2</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2 - 10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1 - 6</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BASOPHILS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0 - 2</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IMMATURE GRANULOCYTE PERCENTAGE (IG%)</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0.0 - 0.4</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4.22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2.0 - 7.0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2.97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1.0 - 3.0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0.52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0.2 - 1.0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0.09</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0.02 - 0.1</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0.02 - 0.5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0.0 - 0.3</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376</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150 - 410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9.1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6.5 - 12.0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9.6 - 15.2</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19.7 - 42.4</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0.34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0.19 - 0.39</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100" w:type="dxa"/>
              <w:bottom w:w="10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before="0" w:after="80"/>
            </w:pPr>
            <w:r>
              <w:rPr>
                <w:rFonts w:ascii="Segoe UI" w:hAnsi="Segoe UI"/>
                <w:b/>
                <w:color w:val="0F172A"/>
                <w:sz w:val="18"/>
              </w:rPr>
              <w:t>CONDITIONS OF REPORTING</w:t>
            </w:r>
          </w:p>
          <w:p>
            <w:pPr>
              <w:spacing w:before="0" w:after="60" w:line="300" w:lineRule="auto"/>
            </w:pPr>
            <w:r>
              <w:rPr>
                <w:rFonts w:ascii="Segoe UI" w:hAnsi="Segoe UI"/>
                <w:color w:val="0D4D44"/>
                <w:sz w:val="14"/>
              </w:rPr>
              <w:t xml:space="preserve">•  </w:t>
            </w:r>
            <w:r>
              <w:rPr>
                <w:rFonts w:ascii="Segoe UI" w:hAnsi="Segoe UI"/>
                <w:color w:val="1E293B"/>
                <w:sz w:val="14"/>
              </w:rPr>
              <w:t>Results are for the information and interpretation of the referring doctor only.</w:t>
            </w:r>
          </w:p>
          <w:p>
            <w:pPr>
              <w:spacing w:before="0" w:after="60" w:line="300" w:lineRule="auto"/>
            </w:pPr>
            <w:r>
              <w:rPr>
                <w:rFonts w:ascii="Segoe UI" w:hAnsi="Segoe UI"/>
                <w:color w:val="0D4D44"/>
                <w:sz w:val="14"/>
              </w:rPr>
              <w:t xml:space="preserve">•  </w:t>
            </w:r>
            <w:r>
              <w:rPr>
                <w:rFonts w:ascii="Segoe UI" w:hAnsi="Segoe UI"/>
                <w:color w:val="1E293B"/>
                <w:sz w:val="14"/>
              </w:rPr>
              <w:t>Tests are presumed to have been performed on the specimen of the patient named or identified above.</w:t>
            </w:r>
          </w:p>
          <w:p>
            <w:pPr>
              <w:spacing w:before="0" w:after="60" w:line="300" w:lineRule="auto"/>
            </w:pPr>
            <w:r>
              <w:rPr>
                <w:rFonts w:ascii="Segoe UI" w:hAnsi="Segoe UI"/>
                <w:color w:val="0D4D44"/>
                <w:sz w:val="14"/>
              </w:rPr>
              <w:t xml:space="preserve">•  </w:t>
            </w:r>
            <w:r>
              <w:rPr>
                <w:rFonts w:ascii="Segoe UI" w:hAnsi="Segoe UI"/>
                <w:color w:val="1E293B"/>
                <w:sz w:val="14"/>
              </w:rPr>
              <w:t>Results may vary between laboratories, and over time for the same patient, depending on the assay method, equipment and specimen quality.</w:t>
            </w:r>
          </w:p>
          <w:p>
            <w:pPr>
              <w:spacing w:before="0" w:after="60" w:line="300" w:lineRule="auto"/>
            </w:pPr>
            <w:r>
              <w:rPr>
                <w:rFonts w:ascii="Segoe UI" w:hAnsi="Segoe UI"/>
                <w:color w:val="0D4D44"/>
                <w:sz w:val="14"/>
              </w:rPr>
              <w:t xml:space="preserve">•  </w:t>
            </w:r>
            <w:r>
              <w:rPr>
                <w:rFonts w:ascii="Segoe UI" w:hAnsi="Segoe UI"/>
                <w:color w:val="1E293B"/>
                <w:sz w:val="14"/>
              </w:rPr>
              <w:t>Any unexpected abnormal result should be reconfirmed.</w:t>
            </w:r>
          </w:p>
          <w:p>
            <w:pPr>
              <w:spacing w:before="0" w:after="60" w:line="300" w:lineRule="auto"/>
            </w:pPr>
            <w:r>
              <w:rPr>
                <w:rFonts w:ascii="Segoe UI" w:hAnsi="Segoe UI"/>
                <w:color w:val="0D4D44"/>
                <w:sz w:val="14"/>
              </w:rPr>
              <w:t xml:space="preserve">•  </w:t>
            </w:r>
            <w:r>
              <w:rPr>
                <w:rFonts w:ascii="Segoe UI" w:hAnsi="Segoe UI"/>
                <w:color w:val="1E293B"/>
                <w:sz w:val="14"/>
              </w:rPr>
              <w:t>Results should be interpreted only by medical professionals who understand the reporting units, reference ranges and limitations of the technologies used.</w:t>
            </w:r>
          </w:p>
          <w:p>
            <w:pPr>
              <w:spacing w:before="0" w:after="60" w:line="300" w:lineRule="auto"/>
            </w:pPr>
            <w:r>
              <w:rPr>
                <w:rFonts w:ascii="Segoe UI" w:hAnsi="Segoe UI"/>
                <w:color w:val="0D4D44"/>
                <w:sz w:val="14"/>
              </w:rPr>
              <w:t xml:space="preserve">•  </w:t>
            </w:r>
            <w:r>
              <w:rPr>
                <w:rFonts w:ascii="Segoe UI" w:hAnsi="Segoe UI"/>
                <w:color w:val="1E293B"/>
                <w:sz w:val="14"/>
              </w:rPr>
              <w:t>This report is not valid for medico-legal purposes.</w:t>
            </w:r>
          </w:p>
          <w:p>
            <w:pPr>
              <w:spacing w:before="0" w:after="60" w:line="300" w:lineRule="auto"/>
            </w:pPr>
            <w:r>
              <w:rPr>
                <w:rFonts w:ascii="Segoe UI" w:hAnsi="Segoe UI"/>
                <w:color w:val="0D4D44"/>
                <w:sz w:val="14"/>
              </w:rPr>
              <w:t xml:space="preserve">•  </w:t>
            </w:r>
            <w:r>
              <w:rPr>
                <w:rFonts w:ascii="Segoe UI" w:hAnsi="Segoe UI"/>
                <w:color w:val="1E293B"/>
                <w:sz w:val="14"/>
              </w:rPr>
              <w:t>Zylk Health and its employees and representatives accept no liability for (a) any bodily injury, loss or damage arising from an assumed meaning of this report, or (b) any claim arising from the performance of the requested tests, including indirect, incidental or consequential damages. Total liability shall not exceed the invoiced amount for the services provided and paid for.</w:t>
            </w:r>
          </w:p>
        </w:tc>
      </w:tr>
    </w:tbl>
    <w:p>
      <w:pPr>
        <w:spacing w:before="120" w:after="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70" w:type="dxa"/>
              <w:bottom w:w="7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before="0" w:after="0"/>
            </w:pPr>
            <w:r>
              <w:rPr>
                <w:rFonts w:ascii="Segoe UI" w:hAnsi="Segoe UI"/>
                <w:color w:val="1E293B"/>
                <w:sz w:val="14"/>
              </w:rPr>
              <w:t xml:space="preserve">For suggestions, complaints, clinical support or feedback, email </w:t>
            </w:r>
            <w:r>
              <w:rPr>
                <w:rFonts w:ascii="Segoe UI" w:hAnsi="Segoe UI"/>
                <w:b/>
                <w:color w:val="008080"/>
                <w:sz w:val="14"/>
              </w:rPr>
              <w:t>customercare@zylkhealth.com</w:t>
            </w:r>
            <w:r>
              <w:rPr>
                <w:rFonts w:ascii="Segoe UI" w:hAnsi="Segoe UI"/>
                <w:color w:val="1E293B"/>
                <w:sz w:val="14"/>
              </w:rPr>
              <w:t xml:space="preserve"> or call </w:t>
            </w:r>
            <w:r>
              <w:rPr>
                <w:rFonts w:ascii="Segoe UI" w:hAnsi="Segoe UI"/>
                <w:b/>
                <w:color w:val="008080"/>
                <w:sz w:val="14"/>
              </w:rPr>
              <w:t>+91 9894377521</w:t>
            </w:r>
            <w:r>
              <w:rPr>
                <w:rFonts w:ascii="Segoe UI" w:hAnsi="Segoe UI"/>
                <w:color w:val="1E293B"/>
                <w:sz w:val="14"/>
              </w:rPr>
              <w:t>.</w:t>
            </w:r>
          </w:p>
        </w:tc>
      </w:tr>
    </w:tbl>
    <w:p>
      <w:pPr>
        <w:spacing w:before="320" w:after="160"/>
        <w:jc w:val="center"/>
      </w:pPr>
      <w:r>
        <w:rPr>
          <w:rFonts w:ascii="Segoe UI" w:hAnsi="Segoe UI"/>
          <w:color w:val="94A3B8"/>
          <w:sz w:val="15"/>
        </w:rPr>
        <w:t>— End of report —</w:t>
      </w:r>
    </w:p>
    <w:sectPr w:rsidR="00FC693F" w:rsidRPr="0006063C" w:rsidSect="00034616">
      <w:footerReference w:type="default" r:id="rId9"/>
      <w:pgSz w:w="11906" w:h="16838"/>
      <w:pgMar w:top="454" w:right="680" w:bottom="907" w:left="68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0" w:lineRule="auto"/>
      <w:jc w:val="center"/>
      <w:pBdr>
        <w:top w:val="single" w:sz="4" w:space="4" w:color="E2E8F0"/>
      </w:pBdr>
    </w:pPr>
    <w:r>
      <w:rPr>
        <w:rFonts w:ascii="Segoe UI" w:hAnsi="Segoe UI"/>
        <w:b/>
        <w:color w:val="008080"/>
        <w:sz w:val="13"/>
      </w:rPr>
      <w:t>All tests are performed at an NABL-accredited, ISO 9001-certified and CAP-accredited medical laboratory.</w:t>
    </w:r>
  </w:p>
  <w:p>
    <w:pPr>
      <w:spacing w:before="0" w:after="40" w:line="240" w:lineRule="auto"/>
      <w:jc w:val="center"/>
    </w:pPr>
    <w:r>
      <w:rPr>
        <w:rFonts w:ascii="Segoe UI" w:hAnsi="Segoe UI"/>
        <w:b/>
        <w:color w:val="008080"/>
        <w:sz w:val="14"/>
      </w:rPr>
      <w:t>The result are reviewed and Verified by an MD pathologist.</w:t>
    </w:r>
  </w:p>
  <w:p>
    <w:pPr>
      <w:tabs>
        <w:tab w:pos="10545" w:val="right"/>
      </w:tabs>
      <w:spacing w:before="0" w:after="0" w:line="240" w:lineRule="auto"/>
    </w:pPr>
    <w:r>
      <w:rPr>
        <w:rFonts w:ascii="Segoe UI" w:hAnsi="Segoe UI"/>
        <w:color w:val="94A3B8"/>
        <w:sz w:val="13"/>
      </w:rPr>
      <w:t>Report generated: 15 Sep 2026 • customercare@zylkhealth.com • +91 9894377521</w:t>
      <w:tab/>
      <w:t xml:space="preserve">Page </w:t>
    </w:r>
    <w:fldSimple w:instr="PAGE">
      <w:r>
        <w:rPr>
          <w:rFonts w:ascii="Segoe UI"/>
          <w:color w:val="94A3B8"/>
          <w:sz w:val="13"/>
        </w:rPr>
        <w:t>1</w:t>
      </w:r>
    </w:fldSimple>
    <w:r>
      <w:rPr>
        <w:rFonts w:ascii="Segoe UI" w:hAnsi="Segoe UI"/>
        <w:color w:val="94A3B8"/>
        <w:sz w:val="13"/>
      </w:rPr>
      <w:t xml:space="preserve"> of </w:t>
    </w:r>
    <w:fldSimple w:instr="NUMPAGES">
      <w:r>
        <w:rPr>
          <w:rFonts w:ascii="Segoe UI"/>
          <w:color w:val="94A3B8"/>
          <w:sz w:val="13"/>
        </w:rPr>
        <w:t>4</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