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color w:val="0096A0"/>
          <w:sz w:val="36"/>
        </w:rPr>
        <w:t>FMV InfraSec</w:t>
      </w:r>
    </w:p>
    <w:p>
      <w:pPr>
        <w:spacing w:before="360" w:after="240"/>
        <w:jc w:val="center"/>
      </w:pPr>
      <w:r>
        <w:rPr>
          <w:rFonts w:ascii="Calibri" w:hAnsi="Calibri"/>
          <w:b/>
          <w:color w:val="082032"/>
          <w:sz w:val="56"/>
        </w:rPr>
        <w:t>Manual de instalación y uso</w:t>
      </w:r>
    </w:p>
    <w:p>
      <w:pPr>
        <w:jc w:val="center"/>
      </w:pPr>
      <w:r>
        <w:rPr>
          <w:rFonts w:ascii="Calibri" w:hAnsi="Calibri"/>
          <w:b w:val="0"/>
          <w:color w:val="55646E"/>
          <w:sz w:val="26"/>
        </w:rPr>
        <w:t>Portal comercial, CRM y plataforma tecnológica</w:t>
      </w:r>
    </w:p>
    <w:p>
      <w:pPr>
        <w:spacing w:before="840"/>
        <w:jc w:val="center"/>
      </w:pPr>
      <w:r>
        <w:rPr>
          <w:rFonts w:ascii="Calibri" w:hAnsi="Calibri"/>
          <w:b w:val="0"/>
          <w:color w:val="55646E"/>
          <w:sz w:val="20"/>
        </w:rPr>
        <w:t>Versión 1.0  |  16 de julio de 2026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Objetivo y arquitectura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Requisitos y archivos importantes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Instalación local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e integraciones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Dominio y HTTPS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portal de clientes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CRM administrativo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Imágenes y marca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Operación y mantenimiento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Respaldo, restauración y actualización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Seguridad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Solución de problemas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Lista de publicación y soporte</w:t>
      </w:r>
    </w:p>
    <w:p>
      <w:r>
        <w:br w:type="page"/>
      </w:r>
    </w:p>
    <w:p>
      <w:r>
        <w:rPr>
          <w:rFonts w:ascii="Calibri" w:hAnsi="Calibri"/>
          <w:b/>
          <w:sz w:val="21"/>
        </w:rPr>
        <w:t>Fecha:</w:t>
      </w:r>
      <w:r>
        <w:rPr>
          <w:rFonts w:ascii="Calibri" w:hAnsi="Calibri"/>
          <w:b w:val="0"/>
          <w:sz w:val="21"/>
        </w:rPr>
        <w:t xml:space="preserve"> 16 de julio de 2026</w:t>
      </w:r>
    </w:p>
    <w:p>
      <w:pPr>
        <w:pStyle w:val="Heading1"/>
      </w:pPr>
      <w:r>
        <w:t>1. Objetivo</w:t>
      </w:r>
    </w:p>
    <w:p>
      <w:r>
        <w:rPr>
          <w:rFonts w:ascii="Calibri" w:hAnsi="Calibri"/>
          <w:b w:val="0"/>
          <w:sz w:val="21"/>
        </w:rPr>
        <w:t>Este manual explica cómo instalar, configurar, publicar, operar, respaldar y actualizar el sistema FMV InfraSec. Está dirigido a administradores del servidor, personal comercial y usuarios encargados de soporte.</w:t>
      </w:r>
    </w:p>
    <w:p>
      <w:r>
        <w:rPr>
          <w:rFonts w:ascii="Calibri" w:hAnsi="Calibri"/>
          <w:b w:val="0"/>
          <w:sz w:val="21"/>
        </w:rPr>
        <w:t>El sistema incluye: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corporativa.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Portal de clientes.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Registro, autenticación, verificación de correo y recuperación de contraseña.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Agenda de asesorías comerciales.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Catálogo de productos y servicios.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CRM con embudo de oportunidades.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Cotizaciones en PDF.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 de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Notificaciones por correo y WhatsApp.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Exportación de eventos de calendario.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y API Node.js/Express.</w:t>
      </w:r>
    </w:p>
    <w:p>
      <w:pPr>
        <w:pStyle w:val="Heading1"/>
      </w:pPr>
      <w:r>
        <w:t>2. Arquitectura general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Navegador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Dominio + HTTPS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Proxy inverso Nginx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Aplicación Node.js / Express 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PostgreSQL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arquitectura interna aplica SOLID: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Rutas HTTP -&gt; Controladores -&gt; Servicios -&gt; Repositorios -&gt; PostgreSQL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 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Adaptadores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correo, WhatsApp, PDF y calendario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Consulte también </w:t>
      </w:r>
      <w:r>
        <w:rPr>
          <w:rFonts w:ascii="Consolas" w:hAnsi="Consolas"/>
          <w:b w:val="0"/>
          <w:color w:val="082032"/>
          <w:sz w:val="20"/>
        </w:rPr>
        <w:t>docs/ARQUITECTURA-SOLID.md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1"/>
      </w:pPr>
      <w:r>
        <w:t>3. Requisitos</w:t>
      </w:r>
    </w:p>
    <w:p>
      <w:pPr>
        <w:pStyle w:val="Heading2"/>
      </w:pPr>
      <w:r>
        <w:t>3.1 Instalación recomendada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Windows 10/11 con Docker Desktop, o Linux de 64 bits.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Engine 24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Compose v2.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2 GB de memoria RAM disponibles como mínimo.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5 GB de almacenamiento libre.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Puerto TCP </w:t>
      </w:r>
      <w:r>
        <w:rPr>
          <w:rFonts w:ascii="Consolas" w:hAnsi="Consolas"/>
          <w:b w:val="0"/>
          <w:color w:val="082032"/>
          <w:sz w:val="20"/>
        </w:rPr>
        <w:t>4100</w:t>
      </w:r>
      <w:r>
        <w:rPr>
          <w:rFonts w:ascii="Calibri" w:hAnsi="Calibri"/>
          <w:b w:val="0"/>
          <w:sz w:val="21"/>
        </w:rPr>
        <w:t xml:space="preserve"> disponible.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Acceso administrativo al equipo o servidor.</w:t>
      </w:r>
    </w:p>
    <w:p>
      <w:pPr>
        <w:pStyle w:val="Heading2"/>
      </w:pPr>
      <w:r>
        <w:t>3.2 Desarrollo sin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Node.js 22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pnpm 11 o npm equivalente.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16.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de entorno configuradas.</w:t>
      </w:r>
    </w:p>
    <w:p>
      <w:pPr>
        <w:pStyle w:val="Heading1"/>
      </w:pPr>
      <w:r>
        <w:t>4. Archivos importantes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Archivo o carpeta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Función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fmv-infrasec.html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Página corporativa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portal-comercial.html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gestion-asesorias.html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interno para asesores y SA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assets/images/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Fotografías e imágenes reemplazables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assets/brand/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Logo y recursos de marca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src/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Aplicación y arquitectura SOLID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sql/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Esquema y migraciones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tests/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Regresión funcional y arquitectónica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Configuración privada local; no se sube a Git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.env.example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Plantilla de configuración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docker-compose.yml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Servicios Docker</w:t>
            </w:r>
          </w:p>
        </w:tc>
      </w:tr>
    </w:tbl>
    <w:p>
      <w:pPr>
        <w:spacing w:after="0"/>
      </w:pPr>
    </w:p>
    <w:p>
      <w:pPr>
        <w:pStyle w:val="Heading1"/>
      </w:pPr>
      <w:r>
        <w:t>5. Instalación local con Docker</w:t>
      </w:r>
    </w:p>
    <w:p>
      <w:pPr>
        <w:pStyle w:val="Heading2"/>
      </w:pPr>
      <w:r>
        <w:t>5.1 Preparar configuración</w:t>
      </w:r>
    </w:p>
    <w:p>
      <w:r>
        <w:rPr>
          <w:rFonts w:ascii="Calibri" w:hAnsi="Calibri"/>
          <w:b w:val="0"/>
          <w:sz w:val="21"/>
        </w:rPr>
        <w:t>Abra PowerShell dentro de la carpeta del proyecto: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Set-Location C:\Personal\FMV_Infrasec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Copy-Item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En Linux: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cd /ruta/FMV_Infrasec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cp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cambie, como mínimo: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POSTGRES_PASSWORD=una-clave-segura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DATABASE_URL=postgres://fmv:una-clave-segura@postgres:5432/fmv_comercial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JWT_SECRET=una-clave-aleatoria-de-al-menos-32-caracteres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BOOTSTRAP_USERS=true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ADMIN_EMAIL=administrador@empresa.com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ADMIN_PASSWORD=una-clave-administrativa-segura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SA_EMAIL=sa@empresa.com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SA_PASSWORD=una-clave-sa-segura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utilice las claves de ejemplo. El servidor rechazará el arranque en producción.</w:t>
      </w:r>
    </w:p>
    <w:p>
      <w:r>
        <w:rPr>
          <w:rFonts w:ascii="Calibri" w:hAnsi="Calibri"/>
          <w:b w:val="0"/>
          <w:sz w:val="21"/>
        </w:rPr>
        <w:t xml:space="preserve">Después del primer inicio, cambie </w:t>
      </w:r>
      <w:r>
        <w:rPr>
          <w:rFonts w:ascii="Consolas" w:hAnsi="Consolas"/>
          <w:b w:val="0"/>
          <w:color w:val="082032"/>
          <w:sz w:val="20"/>
        </w:rPr>
        <w:t>BOOTSTRAP_USERS=false</w:t>
      </w:r>
      <w:r>
        <w:rPr>
          <w:rFonts w:ascii="Calibri" w:hAnsi="Calibri"/>
          <w:b w:val="0"/>
          <w:sz w:val="21"/>
        </w:rPr>
        <w:t xml:space="preserve"> y retire</w:t>
      </w:r>
    </w:p>
    <w:p>
      <w:r>
        <w:rPr>
          <w:rFonts w:ascii="Consolas" w:hAnsi="Consolas"/>
          <w:b w:val="0"/>
          <w:color w:val="082032"/>
          <w:sz w:val="20"/>
        </w:rPr>
        <w:t>ADMIN_PASSWORD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SA_PASSWORD</w:t>
      </w:r>
      <w:r>
        <w:rPr>
          <w:rFonts w:ascii="Calibri" w:hAnsi="Calibri"/>
          <w:b w:val="0"/>
          <w:sz w:val="21"/>
        </w:rPr>
        <w:t xml:space="preserve"> del archivo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5.2 Construir e iniciar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5.3 Comprobar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http://localhost:4100/health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respuesta esperada contiene: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"status": "ok",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"postgres": "online"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5.4 Direcciones locales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Componente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Dirección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Sitio corporativo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http://localhost:4100/fmv-infrasec.html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http://localhost:4100/portal-comercial.html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http://localhost:4100/admin-comercial.html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Gestión de asesorías y usuarios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http://localhost:4100/gestion-asesorias.html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Estado técnico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http://localhost:4100/health</w:t>
            </w:r>
          </w:p>
        </w:tc>
      </w:tr>
    </w:tbl>
    <w:p>
      <w:pPr>
        <w:spacing w:after="0"/>
      </w:pPr>
    </w:p>
    <w:p>
      <w:pPr>
        <w:pStyle w:val="Heading1"/>
      </w:pPr>
      <w:r>
        <w:t>6. Variables de configuración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Variable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Obligatoria en producción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Descripción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Puerto público local del contenedor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APP_BASE_URL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URL pública usada en enlaces de correo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FRONTEND_URL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Origen autorizado por CORS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POSTGRES_PASSWORD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de PostgreSQL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DATABASE_URL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Conexión PostgreSQL usada por la API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Firma de sesiones JWT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JWT_EXPIRES_IN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Duración de sesión, por ejemplo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7d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BOOTSTRAP_USERS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Primer arranque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Habilita la creación de cuentas privilegiadas iniciales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ADMIN_EMAIL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Clave del 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SA_EMAIL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Correo del superadministrador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SA_PASSWORD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Clave del superadministrador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SMTP_HOST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Servidor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Normalmente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587</w:t>
            </w:r>
            <w:r>
              <w:rPr>
                <w:rFonts w:ascii="Calibri" w:hAnsi="Calibri"/>
                <w:b w:val="0"/>
                <w:sz w:val="18"/>
              </w:rPr>
              <w:t xml:space="preserve"> 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465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SMTP_SECURE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true</w:t>
            </w:r>
            <w:r>
              <w:rPr>
                <w:rFonts w:ascii="Calibri" w:hAnsi="Calibri"/>
                <w:b w:val="0"/>
                <w:sz w:val="18"/>
              </w:rPr>
              <w:t xml:space="preserve"> para TLS directo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SMTP_USER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Usuario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o token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SMTP_FROM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Remitente visible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WHATSAPP_TOKEN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Token de Meta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WHATSAPP_PHONE_NUMBER_ID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Identificador del número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PAYMENT_PROVIDER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local</w:t>
            </w:r>
            <w:r>
              <w:rPr>
                <w:rFonts w:ascii="Calibri" w:hAnsi="Calibri"/>
                <w:b w:val="0"/>
                <w:sz w:val="18"/>
              </w:rPr>
              <w:t xml:space="preserve"> solo para pruebas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PAYMENT_WEBHOOK_SECRET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pagos reales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Validación de webhooks</w:t>
            </w:r>
          </w:p>
        </w:tc>
      </w:tr>
    </w:tbl>
    <w:p>
      <w:pPr>
        <w:spacing w:after="0"/>
      </w:pPr>
    </w:p>
    <w:p>
      <w:pPr>
        <w:pStyle w:val="Heading1"/>
      </w:pPr>
      <w:r>
        <w:t>7. Configuración del correo SMTP</w:t>
      </w:r>
    </w:p>
    <w:p>
      <w:r>
        <w:rPr>
          <w:rFonts w:ascii="Calibri" w:hAnsi="Calibri"/>
          <w:b w:val="0"/>
          <w:sz w:val="21"/>
        </w:rPr>
        <w:t xml:space="preserve">Sin credenciales SMTP, los mensajes se registran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 Esto permite probar el sistema sin enviar correos.</w:t>
      </w:r>
    </w:p>
    <w:p>
      <w:r>
        <w:rPr>
          <w:rFonts w:ascii="Calibri" w:hAnsi="Calibri"/>
          <w:b w:val="0"/>
          <w:sz w:val="21"/>
        </w:rPr>
        <w:t>Ejemplo: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SMTP_HOST=smtp.proveedor.com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SMTP_PORT=587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SMTP_SECURE=false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SMTP_USER=notificaciones@fmvinfrasec.com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SMTP_PASSWORD=clave-o-token-del-proveedor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SMTP_FROM=FMV InfraSec &lt;notificaciones@fmvinfrasec.com&gt;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Después de cambiar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100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Para producción configure en el dominio: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SPF para autorizar el servidor de correo.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DKIM para firmar mensajes.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DMARC para definir políticas de autenticación.</w:t>
      </w:r>
    </w:p>
    <w:p>
      <w:pPr>
        <w:pStyle w:val="Heading1"/>
      </w:pPr>
      <w:r>
        <w:t>8. WhatsApp</w:t>
      </w:r>
    </w:p>
    <w:p>
      <w:r>
        <w:rPr>
          <w:rFonts w:ascii="Calibri" w:hAnsi="Calibri"/>
          <w:b w:val="0"/>
          <w:sz w:val="21"/>
        </w:rPr>
        <w:t xml:space="preserve">Sin credenciales de Meta, las notificaciones quedan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Para activar WhatsApp Cloud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WHATSAPP_TOKEN=token-de-meta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WHATSAPP_PHONE_NUMBER_ID=identificador-del-numero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El número de los clientes debe incluir código de país, por ejemplo </w:t>
      </w:r>
      <w:r>
        <w:rPr>
          <w:rFonts w:ascii="Consolas" w:hAnsi="Consolas"/>
          <w:b w:val="0"/>
          <w:color w:val="082032"/>
          <w:sz w:val="20"/>
        </w:rPr>
        <w:t>573001234567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Las plantillas y reglas de Meta pueden exigir aprobación antes de enviar mensajes iniciados por la empresa.</w:t>
      </w:r>
    </w:p>
    <w:p>
      <w:pPr>
        <w:pStyle w:val="Heading1"/>
      </w:pPr>
      <w:r>
        <w:t>9. Pagos</w:t>
      </w:r>
    </w:p>
    <w:p>
      <w:r>
        <w:rPr>
          <w:rFonts w:ascii="Consolas" w:hAnsi="Consolas"/>
          <w:b w:val="0"/>
          <w:color w:val="082032"/>
          <w:sz w:val="20"/>
        </w:rPr>
        <w:t>PAYMENT_PROVIDER=local</w:t>
      </w:r>
      <w:r>
        <w:rPr>
          <w:rFonts w:ascii="Calibri" w:hAnsi="Calibri"/>
          <w:b w:val="0"/>
          <w:sz w:val="21"/>
        </w:rPr>
        <w:t xml:space="preserve"> registra la solicitud en estado </w:t>
      </w:r>
      <w:r>
        <w:rPr>
          <w:rFonts w:ascii="Calibri" w:hAnsi="Calibri"/>
          <w:b/>
          <w:sz w:val="21"/>
        </w:rPr>
        <w:t>en validación</w:t>
      </w:r>
      <w:r>
        <w:rPr>
          <w:rFonts w:ascii="Calibri" w:hAnsi="Calibri"/>
          <w:b w:val="0"/>
          <w:sz w:val="21"/>
        </w:rPr>
        <w:t xml:space="preserve"> y exige revisión administrativa; nunca aprueba un pago automáticamente. No debe utilizarse para recaudar dinero real sin integrar una pasarela certificada.</w:t>
      </w:r>
    </w:p>
    <w:p>
      <w:r>
        <w:rPr>
          <w:rFonts w:ascii="Calibri" w:hAnsi="Calibri"/>
          <w:b w:val="0"/>
          <w:sz w:val="21"/>
        </w:rPr>
        <w:t>Para producción: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la pasarela.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un adaptador nuevo siguiendo la arquitectura SOLID.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la URL de retorno.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y valide el webhook.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Verifique la firma con </w:t>
      </w:r>
      <w:r>
        <w:rPr>
          <w:rFonts w:ascii="Consolas" w:hAnsi="Consolas"/>
          <w:b w:val="0"/>
          <w:color w:val="082032"/>
          <w:sz w:val="20"/>
        </w:rPr>
        <w:t>PAYMENT_WEBHOOK_SECRET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Nunca marque un pago como aprobado únicamente por el retorno del navegador.</w:t>
      </w:r>
    </w:p>
    <w:p>
      <w:pPr>
        <w:pStyle w:val="Heading1"/>
      </w:pPr>
      <w:r>
        <w:t>10. Dominio y HTTPS</w:t>
      </w:r>
    </w:p>
    <w:p>
      <w:r>
        <w:rPr>
          <w:rFonts w:ascii="Calibri" w:hAnsi="Calibri"/>
          <w:b w:val="0"/>
          <w:sz w:val="21"/>
        </w:rPr>
        <w:t>Cuando compre el dominio, cree registros DNS: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Tipo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Nombre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Destino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@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IP pública del servidor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CNAME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www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dominio principal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En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APP_BASE_URL=https://fmvinfrasec.com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FRONTEND_URL=https://fmvinfrasec.com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Ejemplo Nginx: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server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listen 80;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server_name fmvinfrasec.com www.fmvinfrasec.com;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location /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proxy_pass http://127.0.0.1:4100;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Host $host;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X-Real-IP $remote_addr;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X-Forwarded-For $proxy_add_x_forwarded_for;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X-Forwarded-Proto $scheme;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Instale HTTPS con Certbot: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sudo certbot --nginx -d fmvinfrasec.com -d www.fmvinfrasec.com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publique directamente PostgreSQL ni el puerto interno de la API en Internet.</w:t>
      </w:r>
    </w:p>
    <w:p>
      <w:pPr>
        <w:pStyle w:val="Heading1"/>
      </w:pPr>
      <w:r>
        <w:t>11. Uso del portal de clientes</w:t>
      </w:r>
    </w:p>
    <w:p>
      <w:pPr>
        <w:pStyle w:val="Heading2"/>
      </w:pPr>
      <w:r>
        <w:t>11.1 Crear una cuenta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portal comercial.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Seleccione </w:t>
      </w:r>
      <w:r>
        <w:rPr>
          <w:rFonts w:ascii="Calibri" w:hAnsi="Calibri"/>
          <w:b/>
          <w:sz w:val="21"/>
        </w:rPr>
        <w:t>Crear cuenta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Registre nombre, empresa, correo, teléfono y contraseña.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Confirme el correo desde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Inicie sesión.</w:t>
      </w:r>
    </w:p>
    <w:p>
      <w:pPr>
        <w:pStyle w:val="Heading2"/>
      </w:pPr>
      <w:r>
        <w:t>11.2 Solicitar una asesoría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el producto o servicio.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consultor, fecha y hora.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canal, presupuesto y necesidad.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Solicitar asesoría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Consulte el estado en </w:t>
      </w:r>
      <w:r>
        <w:rPr>
          <w:rFonts w:ascii="Calibri" w:hAnsi="Calibri"/>
          <w:b/>
          <w:sz w:val="21"/>
        </w:rPr>
        <w:t>Mis asesorías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evento de calendario si lo necesita.</w:t>
      </w:r>
    </w:p>
    <w:p>
      <w:pPr>
        <w:pStyle w:val="Heading2"/>
      </w:pPr>
      <w:r>
        <w:t>11.3 Cotizaciones y pagos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Revise la cotización asignada.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PDF.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Acepte o rechace la propuesta.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Si la acepta, utilice el pago habilitado.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PSE, tarjeta, transferencia bancaria, Nequi, Daviplata o efectivo.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Conserve la referencia generada y espere la validación del administrador.</w:t>
      </w:r>
    </w:p>
    <w:p>
      <w:r>
        <w:rPr>
          <w:rFonts w:ascii="Calibri" w:hAnsi="Calibri"/>
          <w:b w:val="0"/>
          <w:sz w:val="21"/>
        </w:rPr>
        <w:t>El portal muestra subtotal, impuestos y total en COP. Por seguridad, nunca solicite ni escriba en el portal el número completo de una tarjeta, su fecha de vencimiento, PIN o CVV.</w:t>
      </w:r>
    </w:p>
    <w:p>
      <w:pPr>
        <w:pStyle w:val="Heading2"/>
      </w:pPr>
      <w:r>
        <w:t>11.4 Administración de valores y validación de pagos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Ingrese a </w:t>
      </w:r>
      <w:r>
        <w:rPr>
          <w:rFonts w:ascii="Consolas" w:hAnsi="Consolas"/>
          <w:b w:val="0"/>
          <w:color w:val="082032"/>
          <w:sz w:val="20"/>
        </w:rPr>
        <w:t>admin-comercial.html</w:t>
      </w:r>
      <w:r>
        <w:rPr>
          <w:rFonts w:ascii="Calibri" w:hAnsi="Calibri"/>
          <w:b w:val="0"/>
          <w:sz w:val="21"/>
        </w:rPr>
        <w:t xml:space="preserve"> con un usuario administrador.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Abra </w:t>
      </w:r>
      <w:r>
        <w:rPr>
          <w:rFonts w:ascii="Calibri" w:hAnsi="Calibri"/>
          <w:b/>
          <w:sz w:val="21"/>
        </w:rPr>
        <w:t>Valores</w:t>
      </w:r>
      <w:r>
        <w:rPr>
          <w:rFonts w:ascii="Calibri" w:hAnsi="Calibri"/>
          <w:b w:val="0"/>
          <w:sz w:val="21"/>
        </w:rPr>
        <w:t xml:space="preserve"> para definir el precio público “desde” de cada producto. Un campo vacío se publica como </w:t>
      </w:r>
      <w:r>
        <w:rPr>
          <w:rFonts w:ascii="Calibri" w:hAnsi="Calibri"/>
          <w:b/>
          <w:sz w:val="21"/>
        </w:rPr>
        <w:t>Valor según alcance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Abra </w:t>
      </w:r>
      <w:r>
        <w:rPr>
          <w:rFonts w:ascii="Calibri" w:hAnsi="Calibri"/>
          <w:b/>
          <w:sz w:val="21"/>
        </w:rPr>
        <w:t>Pagos</w:t>
      </w:r>
      <w:r>
        <w:rPr>
          <w:rFonts w:ascii="Calibri" w:hAnsi="Calibri"/>
          <w:b w:val="0"/>
          <w:sz w:val="21"/>
        </w:rPr>
        <w:t xml:space="preserve"> y contraste la referencia con el movimiento bancario o la confirmación del proveedor.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Mantenga </w:t>
      </w:r>
      <w:r>
        <w:rPr>
          <w:rFonts w:ascii="Calibri" w:hAnsi="Calibri"/>
          <w:b/>
          <w:sz w:val="21"/>
        </w:rPr>
        <w:t>En validación</w:t>
      </w:r>
      <w:r>
        <w:rPr>
          <w:rFonts w:ascii="Calibri" w:hAnsi="Calibri"/>
          <w:b w:val="0"/>
          <w:sz w:val="21"/>
        </w:rPr>
        <w:t xml:space="preserve"> mientras no exista evidencia suficiente.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Marque </w:t>
      </w:r>
      <w:r>
        <w:rPr>
          <w:rFonts w:ascii="Calibri" w:hAnsi="Calibri"/>
          <w:b/>
          <w:sz w:val="21"/>
        </w:rPr>
        <w:t>Aprobado</w:t>
      </w:r>
      <w:r>
        <w:rPr>
          <w:rFonts w:ascii="Calibri" w:hAnsi="Calibri"/>
          <w:b w:val="0"/>
          <w:sz w:val="21"/>
        </w:rPr>
        <w:t xml:space="preserve"> únicamente después de confirmar el recaudo; para </w:t>
      </w:r>
      <w:r>
        <w:rPr>
          <w:rFonts w:ascii="Calibri" w:hAnsi="Calibri"/>
          <w:b/>
          <w:sz w:val="21"/>
        </w:rPr>
        <w:t>Rechazado</w:t>
      </w:r>
      <w:r>
        <w:rPr>
          <w:rFonts w:ascii="Calibri" w:hAnsi="Calibri"/>
          <w:b w:val="0"/>
          <w:sz w:val="21"/>
        </w:rPr>
        <w:t xml:space="preserve"> el sistema exige un motivo.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Use </w:t>
      </w:r>
      <w:r>
        <w:rPr>
          <w:rFonts w:ascii="Calibri" w:hAnsi="Calibri"/>
          <w:b/>
          <w:sz w:val="21"/>
        </w:rPr>
        <w:t>Reembolsado</w:t>
      </w:r>
      <w:r>
        <w:rPr>
          <w:rFonts w:ascii="Calibri" w:hAnsi="Calibri"/>
          <w:b w:val="0"/>
          <w:sz w:val="21"/>
        </w:rPr>
        <w:t xml:space="preserve"> solo después de completar el reintegro por el canal correspondiente.</w:t>
      </w:r>
    </w:p>
    <w:p>
      <w:r>
        <w:rPr>
          <w:rFonts w:ascii="Calibri" w:hAnsi="Calibri"/>
          <w:b w:val="0"/>
          <w:sz w:val="21"/>
        </w:rPr>
        <w:t>Estados disponibles: pendiente, en validación, aprobado, rechazado y reembolsado. Una cotización no puede tener simultáneamente más de un pago activo.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Conserve la referencia generada.</w:t>
      </w:r>
    </w:p>
    <w:p>
      <w:pPr>
        <w:pStyle w:val="Heading2"/>
      </w:pPr>
      <w:r>
        <w:t>11.4 Recuperar contraseña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Olvidé mi contraseña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el correo registrado.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Defina una contraseña nueva de mínimo ocho caracteres.</w:t>
      </w:r>
    </w:p>
    <w:p>
      <w:pPr>
        <w:pStyle w:val="Heading1"/>
      </w:pPr>
      <w:r>
        <w:t>12. Uso del CRM administrativo</w:t>
      </w:r>
    </w:p>
    <w:p>
      <w:pPr>
        <w:pStyle w:val="Heading2"/>
      </w:pPr>
      <w:r>
        <w:t>12.1 Acceso</w:t>
      </w: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admin-comercial.html</w:t>
      </w:r>
      <w:r>
        <w:rPr>
          <w:rFonts w:ascii="Calibri" w:hAnsi="Calibri"/>
          <w:b w:val="0"/>
          <w:sz w:val="21"/>
        </w:rPr>
        <w:t xml:space="preserve"> e ingrese con </w:t>
      </w:r>
      <w:r>
        <w:rPr>
          <w:rFonts w:ascii="Consolas" w:hAnsi="Consolas"/>
          <w:b w:val="0"/>
          <w:color w:val="082032"/>
          <w:sz w:val="20"/>
        </w:rPr>
        <w:t>ADMIN_EMAIL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ADMIN_PASSWORD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12.2 Embudo</w:t>
      </w:r>
    </w:p>
    <w:p>
      <w:r>
        <w:rPr>
          <w:rFonts w:ascii="Calibri" w:hAnsi="Calibri"/>
          <w:b w:val="0"/>
          <w:sz w:val="21"/>
        </w:rPr>
        <w:t>Las etapas son: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nuevo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calificado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propuesta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negociacion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ganado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perdido</w:t>
      </w:r>
    </w:p>
    <w:p>
      <w:r>
        <w:rPr>
          <w:rFonts w:ascii="Calibri" w:hAnsi="Calibri"/>
          <w:b w:val="0"/>
          <w:sz w:val="21"/>
        </w:rPr>
        <w:t>El administrador puede cambiar la etapa y el valor estimado de cada oportunidad.</w:t>
      </w:r>
    </w:p>
    <w:p>
      <w:pPr>
        <w:pStyle w:val="Heading2"/>
      </w:pPr>
      <w:r>
        <w:t>12.3 Crear cotización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Localice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Cotizar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subtotal, impuestos, vigencia, alcance y condiciones.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borrador o envío inmediato.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Verifique el PDF en la sección de cotizaciones.</w:t>
      </w:r>
    </w:p>
    <w:p>
      <w:pPr>
        <w:pStyle w:val="Heading2"/>
      </w:pPr>
      <w:r>
        <w:t>12.4 Notificar cliente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Notificar</w:t>
      </w:r>
      <w:r>
        <w:rPr>
          <w:rFonts w:ascii="Calibri" w:hAnsi="Calibri"/>
          <w:b w:val="0"/>
          <w:sz w:val="21"/>
        </w:rPr>
        <w:t xml:space="preserve"> en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correo, WhatsApp o ambos.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Escriba asunto y mensaje.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el resultado en </w:t>
      </w:r>
      <w:r>
        <w:rPr>
          <w:rFonts w:ascii="Calibri" w:hAnsi="Calibri"/>
          <w:b/>
          <w:sz w:val="21"/>
        </w:rPr>
        <w:t>Comunicaciones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12.5 Pagos</w:t>
      </w:r>
    </w:p>
    <w:p>
      <w:r>
        <w:rPr>
          <w:rFonts w:ascii="Calibri" w:hAnsi="Calibri"/>
          <w:b w:val="0"/>
          <w:sz w:val="21"/>
        </w:rPr>
        <w:t>Revise referencia, cliente, monto, método y estado. Los estados disponibles son: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pendiente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aprobado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rechazado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reembolsado</w:t>
      </w:r>
    </w:p>
    <w:p>
      <w:pPr>
        <w:pStyle w:val="Heading1"/>
      </w:pPr>
      <w:r>
        <w:t>13. Gestión de imágenes y logo</w:t>
      </w:r>
    </w:p>
    <w:p>
      <w:pPr>
        <w:pStyle w:val="Heading1"/>
      </w:pPr>
      <w:r>
        <w:t>Portal interno de asesores y SA</w:t>
      </w:r>
    </w:p>
    <w:p>
      <w:r>
        <w:rPr>
          <w:rFonts w:ascii="Calibri" w:hAnsi="Calibri"/>
          <w:b w:val="0"/>
          <w:sz w:val="21"/>
        </w:rPr>
        <w:t xml:space="preserve">Acceda a </w:t>
      </w:r>
      <w:r>
        <w:rPr>
          <w:rFonts w:ascii="Consolas" w:hAnsi="Consolas"/>
          <w:b w:val="0"/>
          <w:color w:val="082032"/>
          <w:sz w:val="20"/>
        </w:rPr>
        <w:t>http://localhost:4100/gestion-asesorias.html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El rol </w:t>
      </w:r>
      <w:r>
        <w:rPr>
          <w:rFonts w:ascii="Consolas" w:hAnsi="Consolas"/>
          <w:b w:val="0"/>
          <w:color w:val="082032"/>
          <w:sz w:val="20"/>
        </w:rPr>
        <w:t>asesor</w:t>
      </w:r>
      <w:r>
        <w:rPr>
          <w:rFonts w:ascii="Calibri" w:hAnsi="Calibri"/>
          <w:b w:val="0"/>
          <w:sz w:val="21"/>
        </w:rPr>
        <w:t xml:space="preserve"> consulta únicamente las citas asociadas a su ficha y puede actualizar su estado.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El rol </w:t>
      </w:r>
      <w:r>
        <w:rPr>
          <w:rFonts w:ascii="Consolas" w:hAnsi="Consolas"/>
          <w:b w:val="0"/>
          <w:color w:val="082032"/>
          <w:sz w:val="20"/>
        </w:rPr>
        <w:t>sa</w:t>
      </w:r>
      <w:r>
        <w:rPr>
          <w:rFonts w:ascii="Calibri" w:hAnsi="Calibri"/>
          <w:b w:val="0"/>
          <w:sz w:val="21"/>
        </w:rPr>
        <w:t xml:space="preserve"> consulta todas las asesorías y administra usuarios: crear, editar, habilitar y deshabilitar.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El SA no puede deshabilitar su propia cuenta durante la sesión.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Al crear un usuario con rol </w:t>
      </w:r>
      <w:r>
        <w:rPr>
          <w:rFonts w:ascii="Consolas" w:hAnsi="Consolas"/>
          <w:b w:val="0"/>
          <w:color w:val="082032"/>
          <w:sz w:val="20"/>
        </w:rPr>
        <w:t>asesor</w:t>
      </w:r>
      <w:r>
        <w:rPr>
          <w:rFonts w:ascii="Calibri" w:hAnsi="Calibri"/>
          <w:b w:val="0"/>
          <w:sz w:val="21"/>
        </w:rPr>
        <w:t>, el sistema crea y vincula automáticamente su ficha de consultor.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Las credenciales iniciales provienen de </w:t>
      </w:r>
      <w:r>
        <w:rPr>
          <w:rFonts w:ascii="Consolas" w:hAnsi="Consolas"/>
          <w:b w:val="0"/>
          <w:color w:val="082032"/>
          <w:sz w:val="20"/>
        </w:rPr>
        <w:t>SA_EMAIL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SA_PASSWORD</w:t>
      </w:r>
      <w:r>
        <w:rPr>
          <w:rFonts w:ascii="Calibri" w:hAnsi="Calibri"/>
          <w:b w:val="0"/>
          <w:sz w:val="21"/>
        </w:rPr>
        <w:t>; cámbielas antes de producción.</w:t>
      </w:r>
    </w:p>
    <w:p>
      <w:r>
        <w:rPr>
          <w:rFonts w:ascii="Calibri" w:hAnsi="Calibri"/>
          <w:b w:val="0"/>
          <w:sz w:val="21"/>
        </w:rPr>
        <w:t>Las imágenes están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assets/images/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El logo está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assets/brand/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Puede reemplazar una imagen conservando el mismo nombre para evitar cambios en HTML. Mantenga: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Formato web compatible: PNG, JPG, WebP o SVG.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Resolución suficiente.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Tamaño optimizado.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Copia del original.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Texto alternativo actualizado cuando cambie el contenido visual.</w:t>
      </w:r>
    </w:p>
    <w:p>
      <w:pPr>
        <w:pStyle w:val="Heading1"/>
      </w:pPr>
      <w:r>
        <w:t>14. Operación y mantenimiento</w:t>
      </w:r>
    </w:p>
    <w:p>
      <w:pPr>
        <w:pStyle w:val="Heading2"/>
      </w:pPr>
      <w:r>
        <w:t>14.1 Comandos frecuentes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-f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restart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stop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</w:t>
            </w:r>
          </w:p>
        </w:tc>
      </w:tr>
    </w:tbl>
    <w:p>
      <w:pPr>
        <w:spacing w:after="0"/>
      </w:pPr>
    </w:p>
    <w:p>
      <w:pPr>
        <w:pStyle w:val="Heading2"/>
      </w:pPr>
      <w:r>
        <w:t>14.2 Aplicar cambios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14.3 Ejecutar pruebas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pnpm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Si </w:t>
      </w:r>
      <w:r>
        <w:rPr>
          <w:rFonts w:ascii="Consolas" w:hAnsi="Consolas"/>
          <w:b w:val="0"/>
          <w:color w:val="082032"/>
          <w:sz w:val="20"/>
        </w:rPr>
        <w:t>node</w:t>
      </w:r>
      <w:r>
        <w:rPr>
          <w:rFonts w:ascii="Calibri" w:hAnsi="Calibri"/>
          <w:b w:val="0"/>
          <w:sz w:val="21"/>
        </w:rPr>
        <w:t xml:space="preserve"> no está disponible en la terminal, ejecute las pruebas dentro del contenedor: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api 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Todas las modificaciones deben terminar con: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funcionales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arquitectónicas SOLID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principal visible hasta el final.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Cursor normal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API y PostgreSQL saludables.</w:t>
      </w:r>
    </w:p>
    <w:p>
      <w:pPr>
        <w:pStyle w:val="Heading1"/>
      </w:pPr>
      <w:r>
        <w:t>15. Respaldo y restauración</w:t>
      </w:r>
    </w:p>
    <w:p>
      <w:pPr>
        <w:pStyle w:val="Heading2"/>
      </w:pPr>
      <w:r>
        <w:t>15.1 Crear respaldo</w:t>
      </w:r>
    </w:p>
    <w:p>
      <w:r>
        <w:rPr>
          <w:rFonts w:ascii="Calibri" w:hAnsi="Calibri"/>
          <w:b w:val="0"/>
          <w:sz w:val="21"/>
        </w:rPr>
        <w:t>En PowerShell: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-T postgres pg_dump -U fmv -d fmv_comercial -Fc &gt; 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Guarde también: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en un almacén seguro.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assets/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Certificados o configuración de Nginx.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Código fuente y migraciones.</w:t>
      </w:r>
    </w:p>
    <w:p>
      <w:pPr>
        <w:pStyle w:val="Heading2"/>
      </w:pPr>
      <w:r>
        <w:t>15.2 Restaurar</w:t>
      </w:r>
    </w:p>
    <w:p>
      <w:r>
        <w:rPr>
          <w:rFonts w:ascii="Calibri" w:hAnsi="Calibri"/>
          <w:b w:val="0"/>
          <w:sz w:val="21"/>
        </w:rPr>
        <w:t>Detenga temporalmente el acceso de usuarios y ejecute: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cp respaldo-fmv.dump postgres:/tmp/respaldo-fmv.dump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postgres pg_restore -U fmv -d fmv_comercial --clean --if-exists /tmp/respaldo-fmv.dump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Pruebe periódicamente la restauración en un ambiente diferente. Un respaldo no probado no debe considerarse confiable.</w:t>
      </w:r>
    </w:p>
    <w:p>
      <w:pPr>
        <w:pStyle w:val="Heading1"/>
      </w:pPr>
      <w:r>
        <w:t>16. Actualización segura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respaldo de PostgreSQL.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Guarde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los recursos gráficos.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Obtenga la nueva versión.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cambios de </w:t>
      </w:r>
      <w:r>
        <w:rPr>
          <w:rFonts w:ascii="Consolas" w:hAnsi="Consolas"/>
          <w:b w:val="0"/>
          <w:color w:val="082032"/>
          <w:sz w:val="20"/>
        </w:rPr>
        <w:t>.env.example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Ejecute pruebas.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Reconstruya: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Compruebe: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https://su-dominio.com/health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Verifique manualmente página, portal, CRM, autenticación y cotizaciones.</w:t>
      </w:r>
    </w:p>
    <w:p>
      <w:pPr>
        <w:pStyle w:val="Heading1"/>
      </w:pPr>
      <w:r>
        <w:t>17. Seguridad antes de producción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Cambiar todas las claves predeterminadas.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Usar contraseñas únicas y largas.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Generar </w:t>
      </w:r>
      <w:r>
        <w:rPr>
          <w:rFonts w:ascii="Consolas" w:hAnsi="Consolas"/>
          <w:b w:val="0"/>
          <w:color w:val="082032"/>
          <w:sz w:val="20"/>
        </w:rPr>
        <w:t>JWT_SECRET</w:t>
      </w:r>
      <w:r>
        <w:rPr>
          <w:rFonts w:ascii="Calibri" w:hAnsi="Calibri"/>
          <w:b w:val="0"/>
          <w:sz w:val="21"/>
        </w:rPr>
        <w:t xml:space="preserve"> aleatorio.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Habilitar HTTPS.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Restringir </w:t>
      </w:r>
      <w:r>
        <w:rPr>
          <w:rFonts w:ascii="Consolas" w:hAnsi="Consolas"/>
          <w:b w:val="0"/>
          <w:color w:val="082032"/>
          <w:sz w:val="20"/>
        </w:rPr>
        <w:t>FRONTEND_URL</w:t>
      </w:r>
      <w:r>
        <w:rPr>
          <w:rFonts w:ascii="Calibri" w:hAnsi="Calibri"/>
          <w:b w:val="0"/>
          <w:sz w:val="21"/>
        </w:rPr>
        <w:t xml:space="preserve"> al dominio real.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Utilizar un usuario PostgreSQL con privilegios mínimos.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publicar el puerto de PostgreSQL.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firewall.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Mantener Docker y dependencias actualizados.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Ejecutar </w:t>
      </w:r>
      <w:r>
        <w:rPr>
          <w:rFonts w:ascii="Consolas" w:hAnsi="Consolas"/>
          <w:b w:val="0"/>
          <w:color w:val="082032"/>
          <w:sz w:val="20"/>
        </w:rPr>
        <w:t>pnpm audit --prod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respaldos automáticos.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Implementar monitoreo y alertas.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Rotar tokens SMTP, WhatsApp y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Revisar logs sin exponer información sensible.</w:t>
      </w:r>
    </w:p>
    <w:p>
      <w:pPr>
        <w:pStyle w:val="Heading1"/>
      </w:pPr>
      <w:r>
        <w:t>18. Solución de problemas</w:t>
      </w:r>
    </w:p>
    <w:p>
      <w:pPr>
        <w:pStyle w:val="Heading2"/>
      </w:pPr>
      <w:r>
        <w:t>Puerto 4100 ocupado</w:t>
      </w:r>
    </w:p>
    <w:p>
      <w:r>
        <w:rPr>
          <w:rFonts w:ascii="Calibri" w:hAnsi="Calibri"/>
          <w:b w:val="0"/>
          <w:sz w:val="21"/>
        </w:rPr>
        <w:t>Cambie: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FRONTEND_URL=http://localhost:4200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Luego reconstruya.</w:t>
      </w:r>
    </w:p>
    <w:p>
      <w:pPr>
        <w:pStyle w:val="Heading2"/>
      </w:pPr>
      <w:r>
        <w:t>API no saludable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postgres --tail 200</w:t>
            </w:r>
          </w:p>
        </w:tc>
      </w:tr>
    </w:tbl>
    <w:p>
      <w:pPr>
        <w:spacing w:after="0"/>
      </w:pPr>
    </w:p>
    <w:p>
      <w:pPr>
        <w:pStyle w:val="Heading2"/>
      </w:pPr>
      <w:r>
        <w:t>Correos no llegan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Confirme SMTP.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puerto y TLS.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SPF, DKIM y DMARC.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Consulte la tabla de comunicaciones desde el CRM.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spam y reputación del remitente.</w:t>
      </w:r>
    </w:p>
    <w:p>
      <w:pPr>
        <w:pStyle w:val="Heading2"/>
      </w:pPr>
      <w:r>
        <w:t>El contenido inferior no aparece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</w:t>
      </w:r>
      <w:r>
        <w:rPr>
          <w:rFonts w:ascii="Consolas" w:hAnsi="Consolas"/>
          <w:b w:val="0"/>
          <w:color w:val="082032"/>
          <w:sz w:val="20"/>
        </w:rPr>
        <w:t>fmv-infrasec.html</w:t>
      </w:r>
      <w:r>
        <w:rPr>
          <w:rFonts w:ascii="Calibri" w:hAnsi="Calibri"/>
          <w:b w:val="0"/>
          <w:sz w:val="21"/>
        </w:rPr>
        <w:t xml:space="preserve"> responde HTTP 200.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Ejecute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errores del navegador.</w:t>
      </w:r>
    </w:p>
    <w:p>
      <w:pPr>
        <w:pStyle w:val="Heading2"/>
      </w:pPr>
      <w:r>
        <w:t>No se ve el cursor</w:t>
      </w:r>
    </w:p>
    <w:p>
      <w:r>
        <w:rPr>
          <w:rFonts w:ascii="Calibri" w:hAnsi="Calibri"/>
          <w:b w:val="0"/>
          <w:sz w:val="21"/>
        </w:rPr>
        <w:t>La página está configurada para usar el cursor normal. Si desaparece: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no exista </w:t>
      </w:r>
      <w:r>
        <w:rPr>
          <w:rFonts w:ascii="Consolas" w:hAnsi="Consolas"/>
          <w:b w:val="0"/>
          <w:color w:val="082032"/>
          <w:sz w:val="20"/>
        </w:rPr>
        <w:t>cursor: none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Ejecute las pruebas de regresión.</w:t>
      </w:r>
    </w:p>
    <w:p>
      <w:pPr>
        <w:pStyle w:val="Heading2"/>
      </w:pPr>
      <w:r>
        <w:t>La base no inicia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espacio en disco.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Verifique </w:t>
      </w:r>
      <w:r>
        <w:rPr>
          <w:rFonts w:ascii="Consolas" w:hAnsi="Consolas"/>
          <w:b w:val="0"/>
          <w:color w:val="082032"/>
          <w:sz w:val="20"/>
        </w:rPr>
        <w:t>POSTGRES_PASSWORD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permisos del volumen Docker.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elimine el volumen sin respaldo.</w:t>
      </w:r>
    </w:p>
    <w:p>
      <w:pPr>
        <w:pStyle w:val="Heading1"/>
      </w:pPr>
      <w:r>
        <w:t>19. Lista de verificación de publicación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Dominio resuelve a la IP correcta.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HTTPS válido y renovación automática.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de producción configurado.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Claves predeterminadas eliminadas.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SMTP verificado.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SPF, DKIM y DMARC configurados.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WhatsApp aprobado o deshabilitado conscientemente.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Pasarela real conectada y webhook validado.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PostgreSQL no está publicado.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Respaldo automático 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 xml:space="preserve"> aprobado.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Salud responde </w:t>
      </w:r>
      <w:r>
        <w:rPr>
          <w:rFonts w:ascii="Consolas" w:hAnsi="Consolas"/>
          <w:b w:val="0"/>
          <w:color w:val="082032"/>
          <w:sz w:val="20"/>
        </w:rPr>
        <w:t>ok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Página, portal y CRM revisados.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Logo definitivo e imágenes optimizadas.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Política de privacidad y datos de contacto reales.</w:t>
      </w:r>
    </w:p>
    <w:p>
      <w:pPr>
        <w:pStyle w:val="Heading1"/>
      </w:pPr>
      <w:r>
        <w:t>20. Soporte</w:t>
      </w:r>
    </w:p>
    <w:p>
      <w:r>
        <w:rPr>
          <w:rFonts w:ascii="Calibri" w:hAnsi="Calibri"/>
          <w:b w:val="0"/>
          <w:sz w:val="21"/>
        </w:rPr>
        <w:t>Al reportar un problema incluya: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Fecha y hora.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URL afectada.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Acción realizada.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Mensaje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Salida de </w:t>
      </w:r>
      <w:r>
        <w:rPr>
          <w:rFonts w:ascii="Consolas" w:hAnsi="Consolas"/>
          <w:b w:val="0"/>
          <w:color w:val="082032"/>
          <w:sz w:val="20"/>
        </w:rPr>
        <w:t>docker compose ps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Logs relevantes sin contraseñas ni tokens.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Navegador y sistema operativo.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5646E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 w:val="0"/>
        <w:color w:val="55646E"/>
        <w:sz w:val="17"/>
      </w:rPr>
      <w:t>FMV InfraSec  |  Manual de instalación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96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96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820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- FMV InfraSec</dc:title>
  <dc:subject>Instalación, configuración, operación y mantenimiento</dc:subject>
  <dc:creator>FMV InfraSec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