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Calibri" w:hAnsi="Calibri"/>
          <w:b/>
          <w:color w:val="0096A0"/>
          <w:sz w:val="36"/>
        </w:rPr>
        <w:t>FMV InfraSec</w:t>
      </w:r>
    </w:p>
    <w:p>
      <w:pPr>
        <w:spacing w:before="360" w:after="240"/>
        <w:jc w:val="center"/>
      </w:pPr>
      <w:r>
        <w:rPr>
          <w:rFonts w:ascii="Calibri" w:hAnsi="Calibri"/>
          <w:b/>
          <w:color w:val="082032"/>
          <w:sz w:val="56"/>
        </w:rPr>
        <w:t>Manual de instalación y uso</w:t>
      </w:r>
    </w:p>
    <w:p>
      <w:pPr>
        <w:jc w:val="center"/>
      </w:pPr>
      <w:r>
        <w:rPr>
          <w:rFonts w:ascii="Calibri" w:hAnsi="Calibri"/>
          <w:b w:val="0"/>
          <w:color w:val="55646E"/>
          <w:sz w:val="26"/>
        </w:rPr>
        <w:t>Portal comercial, CRM y plataforma tecnológica</w:t>
      </w:r>
    </w:p>
    <w:p>
      <w:pPr>
        <w:spacing w:before="840"/>
        <w:jc w:val="center"/>
      </w:pPr>
      <w:r>
        <w:rPr>
          <w:rFonts w:ascii="Calibri" w:hAnsi="Calibri"/>
          <w:b w:val="0"/>
          <w:color w:val="55646E"/>
          <w:sz w:val="20"/>
        </w:rPr>
        <w:t>Versión 1.0  |  16 de julio de 2026</w:t>
      </w:r>
    </w:p>
    <w:p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Objetivo y arquitectura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Requisitos y archivos importantes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Instalación local con Docker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Variables e integraciones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Dominio y HTTPS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Uso del portal de clientes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Uso del CRM administrativo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Imágenes y marca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Operación y mantenimiento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Respaldo, restauración y actualización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Seguridad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Solución de problemas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Lista de publicación y soporte</w:t>
      </w:r>
    </w:p>
    <w:p>
      <w:r>
        <w:br w:type="page"/>
      </w:r>
    </w:p>
    <w:p>
      <w:r>
        <w:rPr>
          <w:rFonts w:ascii="Calibri" w:hAnsi="Calibri"/>
          <w:b/>
          <w:sz w:val="21"/>
        </w:rPr>
        <w:t>Fecha:</w:t>
      </w:r>
      <w:r>
        <w:rPr>
          <w:rFonts w:ascii="Calibri" w:hAnsi="Calibri"/>
          <w:b w:val="0"/>
          <w:sz w:val="21"/>
        </w:rPr>
        <w:t xml:space="preserve"> 16 de julio de 2026</w:t>
      </w:r>
    </w:p>
    <w:p>
      <w:pPr>
        <w:pStyle w:val="Heading1"/>
      </w:pPr>
      <w:r>
        <w:t>1. Objetivo</w:t>
      </w:r>
    </w:p>
    <w:p>
      <w:r>
        <w:rPr>
          <w:rFonts w:ascii="Calibri" w:hAnsi="Calibri"/>
          <w:b w:val="0"/>
          <w:sz w:val="21"/>
        </w:rPr>
        <w:t>Este manual explica cómo instalar, configurar, publicar, operar, respaldar y actualizar el sistema FMV InfraSec. Está dirigido a administradores del servidor, personal comercial y usuarios encargados de soporte.</w:t>
      </w:r>
    </w:p>
    <w:p>
      <w:r>
        <w:rPr>
          <w:rFonts w:ascii="Calibri" w:hAnsi="Calibri"/>
          <w:b w:val="0"/>
          <w:sz w:val="21"/>
        </w:rPr>
        <w:t>El sistema incluye: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Página corporativa.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Portal de clientes.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Registro, autenticación, verificación de correo y recuperación de contraseña.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Agenda de asesorías comerciales.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Catálogo de productos y servicios.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CRM con embudo de oportunidades.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Cotizaciones en PDF.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Registro de pagos.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Notificaciones por correo y WhatsApp.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Exportación de eventos de calendario.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PostgreSQL y API Node.js/Express.</w:t>
      </w:r>
    </w:p>
    <w:p>
      <w:pPr>
        <w:pStyle w:val="Heading1"/>
      </w:pPr>
      <w:r>
        <w:t>2. Arquitectura general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Navegador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Dominio + HTTPS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Proxy inverso Nginx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Aplicación Node.js / Express :4100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PostgreSQL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La arquitectura interna aplica SOLID: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Rutas HTTP -&gt; Controladores -&gt; Servicios -&gt; Repositorios -&gt; PostgreSQL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                           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                          Adaptadores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               correo, WhatsApp, PDF y calendario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Consulte también </w:t>
      </w:r>
      <w:r>
        <w:rPr>
          <w:rFonts w:ascii="Consolas" w:hAnsi="Consolas"/>
          <w:b w:val="0"/>
          <w:color w:val="082032"/>
          <w:sz w:val="20"/>
        </w:rPr>
        <w:t>docs/ARQUITECTURA-SOLID.md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1"/>
      </w:pPr>
      <w:r>
        <w:t>3. Requisitos</w:t>
      </w:r>
    </w:p>
    <w:p>
      <w:pPr>
        <w:pStyle w:val="Heading2"/>
      </w:pPr>
      <w:r>
        <w:t>3.1 Instalación recomendada con Docker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Windows 10/11 con Docker Desktop, o Linux de 64 bits.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Docker Engine 24 o posterior.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Docker Compose v2.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2 GB de memoria RAM disponibles como mínimo.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5 GB de almacenamiento libre.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Puerto TCP </w:t>
      </w:r>
      <w:r>
        <w:rPr>
          <w:rFonts w:ascii="Consolas" w:hAnsi="Consolas"/>
          <w:b w:val="0"/>
          <w:color w:val="082032"/>
          <w:sz w:val="20"/>
        </w:rPr>
        <w:t>4100</w:t>
      </w:r>
      <w:r>
        <w:rPr>
          <w:rFonts w:ascii="Calibri" w:hAnsi="Calibri"/>
          <w:b w:val="0"/>
          <w:sz w:val="21"/>
        </w:rPr>
        <w:t xml:space="preserve"> disponible.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Acceso administrativo al equipo o servidor.</w:t>
      </w:r>
    </w:p>
    <w:p>
      <w:pPr>
        <w:pStyle w:val="Heading2"/>
      </w:pPr>
      <w:r>
        <w:t>3.2 Desarrollo sin Docker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Node.js 22 o posterior.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pnpm 11 o npm equivalente.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PostgreSQL 16.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Variables de entorno configuradas.</w:t>
      </w:r>
    </w:p>
    <w:p>
      <w:pPr>
        <w:pStyle w:val="Heading1"/>
      </w:pPr>
      <w:r>
        <w:t>4. Archivos importantes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Archivo o carpeta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Función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fmv-infrasec.html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Página corporativa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portal-comercial.html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Portal de clientes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admin-comercial.html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CRM administrativo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assets/images/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Fotografías e imágenes reemplazables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assets/brand/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Logo y recursos de marca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src/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Aplicación y arquitectura SOLID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sql/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Esquema y migraciones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tests/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Regresión funcional y arquitectónica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.env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Configuración privada local; no se sube a Git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.env.example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Plantilla de configuración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docker-compose.yml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Servicios Docker</w:t>
            </w:r>
          </w:p>
        </w:tc>
      </w:tr>
    </w:tbl>
    <w:p>
      <w:pPr>
        <w:spacing w:after="0"/>
      </w:pPr>
    </w:p>
    <w:p>
      <w:pPr>
        <w:pStyle w:val="Heading1"/>
      </w:pPr>
      <w:r>
        <w:t>5. Instalación local con Docker</w:t>
      </w:r>
    </w:p>
    <w:p>
      <w:pPr>
        <w:pStyle w:val="Heading2"/>
      </w:pPr>
      <w:r>
        <w:t>5.1 Preparar configuración</w:t>
      </w:r>
    </w:p>
    <w:p>
      <w:r>
        <w:rPr>
          <w:rFonts w:ascii="Calibri" w:hAnsi="Calibri"/>
          <w:b w:val="0"/>
          <w:sz w:val="21"/>
        </w:rPr>
        <w:t>Abra PowerShell dentro de la carpeta del proyecto: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Set-Location C:\Personal\FMV_Infrasec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Copy-Item .env.example .env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En Linux: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cd /ruta/FMV_Infrasec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cp .env.example .env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Abra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y cambie, como mínimo: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APP_PORT=4100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FRONTEND_URL=http://localhost:4100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APP_BASE_URL=http://localhost:4100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POSTGRES_PASSWORD=una-clave-segura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JWT_SECRET=una-clave-aleatoria-de-al-menos-32-caracteres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ADMIN_EMAIL=administrador@empresa.com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ADMIN_PASSWORD=una-clave-administrativa-segura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No utilice las claves de ejemplo en un servidor público.</w:t>
      </w:r>
    </w:p>
    <w:p>
      <w:pPr>
        <w:pStyle w:val="Heading2"/>
      </w:pPr>
      <w:r>
        <w:t>5.2 Construir e iniciar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</w:r>
          </w:p>
        </w:tc>
      </w:tr>
    </w:tbl>
    <w:p>
      <w:pPr>
        <w:spacing w:after="0"/>
      </w:pPr>
    </w:p>
    <w:p>
      <w:pPr>
        <w:pStyle w:val="Heading2"/>
      </w:pPr>
      <w:r>
        <w:t>5.3 Comprobar estado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Invoke-RestMethod http://localhost:4100/health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La respuesta esperada contiene: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"status": "ok",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"postgres": "online"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5.4 Direcciones locales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Componente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Dirección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Sitio corporativo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http://localhost:4100/fmv-infrasec.html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Portal de clientes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http://localhost:4100/portal-comercial.html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CRM administrativo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http://localhost:4100/admin-comercial.html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Estado técnico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http://localhost:4100/health</w:t>
            </w:r>
          </w:p>
        </w:tc>
      </w:tr>
    </w:tbl>
    <w:p>
      <w:pPr>
        <w:spacing w:after="0"/>
      </w:pPr>
    </w:p>
    <w:p>
      <w:pPr>
        <w:pStyle w:val="Heading1"/>
      </w:pPr>
      <w:r>
        <w:t>6. Variables de configuración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Variable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Obligatoria en producción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Descripción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APP_PORT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Puerto público local del contenedor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APP_BASE_URL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URL pública usada en enlaces de correo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FRONTEND_URL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Origen autorizado por CORS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POSTGRES_PASSWORD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Contraseña de PostgreSQL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JWT_SECRET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Firma de sesiones JWT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JWT_EXPIRES_IN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 xml:space="preserve">Duración de sesión, por ejemplo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7d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ADMIN_EMAIL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Administrador inicial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ADMIN_PASSWORD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Clave del administrador inicial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SMTP_HOST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Servidor SMTP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SMTP_PORT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 xml:space="preserve">Normalmente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587</w:t>
            </w:r>
            <w:r>
              <w:rPr>
                <w:rFonts w:ascii="Calibri" w:hAnsi="Calibri"/>
                <w:b w:val="0"/>
                <w:sz w:val="18"/>
              </w:rPr>
              <w:t xml:space="preserve"> o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465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SMTP_SECURE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true</w:t>
            </w:r>
            <w:r>
              <w:rPr>
                <w:rFonts w:ascii="Calibri" w:hAnsi="Calibri"/>
                <w:b w:val="0"/>
                <w:sz w:val="18"/>
              </w:rPr>
              <w:t xml:space="preserve"> para TLS directo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SMTP_USER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Usuario SMTP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Contraseña o token SMTP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SMTP_FROM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Remitente visible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WHATSAPP_TOKEN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WhatsApp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Token de Meta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WHATSAPP_PHONE_NUMBER_ID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WhatsApp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Identificador del número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PAYMENT_PROVIDER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local</w:t>
            </w:r>
            <w:r>
              <w:rPr>
                <w:rFonts w:ascii="Calibri" w:hAnsi="Calibri"/>
                <w:b w:val="0"/>
                <w:sz w:val="18"/>
              </w:rPr>
              <w:t xml:space="preserve"> solo para pruebas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PAYMENT_WEBHOOK_SECRET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pagos reales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Validación de webhooks</w:t>
            </w:r>
          </w:p>
        </w:tc>
      </w:tr>
    </w:tbl>
    <w:p>
      <w:pPr>
        <w:spacing w:after="0"/>
      </w:pPr>
    </w:p>
    <w:p>
      <w:pPr>
        <w:pStyle w:val="Heading1"/>
      </w:pPr>
      <w:r>
        <w:t>7. Configuración del correo SMTP</w:t>
      </w:r>
    </w:p>
    <w:p>
      <w:r>
        <w:rPr>
          <w:rFonts w:ascii="Calibri" w:hAnsi="Calibri"/>
          <w:b w:val="0"/>
          <w:sz w:val="21"/>
        </w:rPr>
        <w:t xml:space="preserve">Sin credenciales SMTP, los mensajes se registran como </w:t>
      </w:r>
      <w:r>
        <w:rPr>
          <w:rFonts w:ascii="Consolas" w:hAnsi="Consolas"/>
          <w:b w:val="0"/>
          <w:color w:val="082032"/>
          <w:sz w:val="20"/>
        </w:rPr>
        <w:t>simulado</w:t>
      </w:r>
      <w:r>
        <w:rPr>
          <w:rFonts w:ascii="Calibri" w:hAnsi="Calibri"/>
          <w:b w:val="0"/>
          <w:sz w:val="21"/>
        </w:rPr>
        <w:t>. Esto permite probar el sistema sin enviar correos.</w:t>
      </w:r>
    </w:p>
    <w:p>
      <w:r>
        <w:rPr>
          <w:rFonts w:ascii="Calibri" w:hAnsi="Calibri"/>
          <w:b w:val="0"/>
          <w:sz w:val="21"/>
        </w:rPr>
        <w:t>Ejemplo: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SMTP_HOST=smtp.proveedor.com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SMTP_PORT=587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SMTP_SECURE=false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SMTP_USER=notificaciones@fmvinfrasec.com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SMTP_PASSWORD=clave-o-token-del-proveedor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SMTP_FROM=FMV InfraSec &lt;notificaciones@fmvinfrasec.com&gt;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Después de cambiar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api --tail 100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Para producción configure en el dominio: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SPF para autorizar el servidor de correo.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DKIM para firmar mensajes.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DMARC para definir políticas de autenticación.</w:t>
      </w:r>
    </w:p>
    <w:p>
      <w:pPr>
        <w:pStyle w:val="Heading1"/>
      </w:pPr>
      <w:r>
        <w:t>8. WhatsApp</w:t>
      </w:r>
    </w:p>
    <w:p>
      <w:r>
        <w:rPr>
          <w:rFonts w:ascii="Calibri" w:hAnsi="Calibri"/>
          <w:b w:val="0"/>
          <w:sz w:val="21"/>
        </w:rPr>
        <w:t xml:space="preserve">Sin credenciales de Meta, las notificaciones quedan como </w:t>
      </w:r>
      <w:r>
        <w:rPr>
          <w:rFonts w:ascii="Consolas" w:hAnsi="Consolas"/>
          <w:b w:val="0"/>
          <w:color w:val="082032"/>
          <w:sz w:val="20"/>
        </w:rPr>
        <w:t>simulado</w:t>
      </w:r>
      <w:r>
        <w:rPr>
          <w:rFonts w:ascii="Calibri" w:hAnsi="Calibri"/>
          <w:b w:val="0"/>
          <w:sz w:val="21"/>
        </w:rPr>
        <w:t>.</w:t>
      </w:r>
    </w:p>
    <w:p>
      <w:r>
        <w:rPr>
          <w:rFonts w:ascii="Calibri" w:hAnsi="Calibri"/>
          <w:b w:val="0"/>
          <w:sz w:val="21"/>
        </w:rPr>
        <w:t>Para activar WhatsApp Cloud API: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WHATSAPP_TOKEN=token-de-meta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WHATSAPP_PHONE_NUMBER_ID=identificador-del-numero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El número de los clientes debe incluir código de país, por ejemplo </w:t>
      </w:r>
      <w:r>
        <w:rPr>
          <w:rFonts w:ascii="Consolas" w:hAnsi="Consolas"/>
          <w:b w:val="0"/>
          <w:color w:val="082032"/>
          <w:sz w:val="20"/>
        </w:rPr>
        <w:t>573001234567</w:t>
      </w:r>
      <w:r>
        <w:rPr>
          <w:rFonts w:ascii="Calibri" w:hAnsi="Calibri"/>
          <w:b w:val="0"/>
          <w:sz w:val="21"/>
        </w:rPr>
        <w:t>.</w:t>
      </w:r>
    </w:p>
    <w:p>
      <w:r>
        <w:rPr>
          <w:rFonts w:ascii="Calibri" w:hAnsi="Calibri"/>
          <w:b w:val="0"/>
          <w:sz w:val="21"/>
        </w:rPr>
        <w:t>Las plantillas y reglas de Meta pueden exigir aprobación antes de enviar mensajes iniciados por la empresa.</w:t>
      </w:r>
    </w:p>
    <w:p>
      <w:pPr>
        <w:pStyle w:val="Heading1"/>
      </w:pPr>
      <w:r>
        <w:t>9. Pagos</w:t>
      </w:r>
    </w:p>
    <w:p>
      <w:r>
        <w:rPr>
          <w:rFonts w:ascii="Consolas" w:hAnsi="Consolas"/>
          <w:b w:val="0"/>
          <w:color w:val="082032"/>
          <w:sz w:val="20"/>
        </w:rPr>
        <w:t>PAYMENT_PROVIDER=local</w:t>
      </w:r>
      <w:r>
        <w:rPr>
          <w:rFonts w:ascii="Calibri" w:hAnsi="Calibri"/>
          <w:b w:val="0"/>
          <w:sz w:val="21"/>
        </w:rPr>
        <w:t xml:space="preserve"> es un simulador y aprueba pagos de prueba. No debe utilizarse para recaudar dinero real.</w:t>
      </w:r>
    </w:p>
    <w:p>
      <w:r>
        <w:rPr>
          <w:rFonts w:ascii="Calibri" w:hAnsi="Calibri"/>
          <w:b w:val="0"/>
          <w:sz w:val="21"/>
        </w:rPr>
        <w:t>Para producción: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la pasarela.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Cree un adaptador nuevo siguiendo la arquitectura SOLID.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Configure la URL de retorno.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Configure y valide el webhook.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Verifique la firma con </w:t>
      </w:r>
      <w:r>
        <w:rPr>
          <w:rFonts w:ascii="Consolas" w:hAnsi="Consolas"/>
          <w:b w:val="0"/>
          <w:color w:val="082032"/>
          <w:sz w:val="20"/>
        </w:rPr>
        <w:t>PAYMENT_WEBHOOK_SECRET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Nunca marque un pago como aprobado únicamente por el retorno del navegador.</w:t>
      </w:r>
    </w:p>
    <w:p>
      <w:pPr>
        <w:pStyle w:val="Heading1"/>
      </w:pPr>
      <w:r>
        <w:t>10. Dominio y HTTPS</w:t>
      </w:r>
    </w:p>
    <w:p>
      <w:r>
        <w:rPr>
          <w:rFonts w:ascii="Calibri" w:hAnsi="Calibri"/>
          <w:b w:val="0"/>
          <w:sz w:val="21"/>
        </w:rPr>
        <w:t>Cuando compre el dominio, cree registros DNS: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Tipo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Nombre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Destino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@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IP pública del servidor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CNAME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www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dominio principal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En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APP_BASE_URL=https://fmvinfrasec.com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FRONTEND_URL=https://fmvinfrasec.com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Ejemplo Nginx: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server 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listen 80;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server_name fmvinfrasec.com www.fmvinfrasec.com;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location / 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proxy_pass http://127.0.0.1:4100;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Host $host;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X-Real-IP $remote_addr;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X-Forwarded-For $proxy_add_x_forwarded_for;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X-Forwarded-Proto $scheme;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}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Instale HTTPS con Certbot: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sudo certbot --nginx -d fmvinfrasec.com -d www.fmvinfrasec.com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No publique directamente PostgreSQL ni el puerto interno de la API en Internet.</w:t>
      </w:r>
    </w:p>
    <w:p>
      <w:pPr>
        <w:pStyle w:val="Heading1"/>
      </w:pPr>
      <w:r>
        <w:t>11. Uso del portal de clientes</w:t>
      </w:r>
    </w:p>
    <w:p>
      <w:pPr>
        <w:pStyle w:val="Heading2"/>
      </w:pPr>
      <w:r>
        <w:t>11.1 Crear una cuenta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Abra el portal comercial.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Seleccione </w:t>
      </w:r>
      <w:r>
        <w:rPr>
          <w:rFonts w:ascii="Calibri" w:hAnsi="Calibri"/>
          <w:b/>
          <w:sz w:val="21"/>
        </w:rPr>
        <w:t>Crear cuenta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Registre nombre, empresa, correo, teléfono y contraseña.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Confirme el correo desde el enlace recibido.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Inicie sesión.</w:t>
      </w:r>
    </w:p>
    <w:p>
      <w:pPr>
        <w:pStyle w:val="Heading2"/>
      </w:pPr>
      <w:r>
        <w:t>11.2 Solicitar una asesoría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el producto o servicio.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consultor, fecha y hora.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Indique canal, presupuesto y necesidad.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Solicitar asesoría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Consulte el estado en </w:t>
      </w:r>
      <w:r>
        <w:rPr>
          <w:rFonts w:ascii="Calibri" w:hAnsi="Calibri"/>
          <w:b/>
          <w:sz w:val="21"/>
        </w:rPr>
        <w:t>Mis asesorías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Descargue el evento de calendario si lo necesita.</w:t>
      </w:r>
    </w:p>
    <w:p>
      <w:pPr>
        <w:pStyle w:val="Heading2"/>
      </w:pPr>
      <w:r>
        <w:t>11.3 Cotizaciones y pagos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Revise la cotización asignada.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Descargue el PDF.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Acepte o rechace la propuesta.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Si la acepta, utilice el pago habilitado.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Conserve la referencia generada.</w:t>
      </w:r>
    </w:p>
    <w:p>
      <w:pPr>
        <w:pStyle w:val="Heading2"/>
      </w:pPr>
      <w:r>
        <w:t>11.4 Recuperar contraseña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Olvidé mi contraseña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Indique el correo registrado.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Abra el enlace recibido.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Defina una contraseña nueva de mínimo ocho caracteres.</w:t>
      </w:r>
    </w:p>
    <w:p>
      <w:pPr>
        <w:pStyle w:val="Heading1"/>
      </w:pPr>
      <w:r>
        <w:t>12. Uso del CRM administrativo</w:t>
      </w:r>
    </w:p>
    <w:p>
      <w:pPr>
        <w:pStyle w:val="Heading2"/>
      </w:pPr>
      <w:r>
        <w:t>12.1 Acceso</w:t>
      </w:r>
    </w:p>
    <w:p>
      <w:r>
        <w:rPr>
          <w:rFonts w:ascii="Calibri" w:hAnsi="Calibri"/>
          <w:b w:val="0"/>
          <w:sz w:val="21"/>
        </w:rPr>
        <w:t xml:space="preserve">Abra </w:t>
      </w:r>
      <w:r>
        <w:rPr>
          <w:rFonts w:ascii="Consolas" w:hAnsi="Consolas"/>
          <w:b w:val="0"/>
          <w:color w:val="082032"/>
          <w:sz w:val="20"/>
        </w:rPr>
        <w:t>admin-comercial.html</w:t>
      </w:r>
      <w:r>
        <w:rPr>
          <w:rFonts w:ascii="Calibri" w:hAnsi="Calibri"/>
          <w:b w:val="0"/>
          <w:sz w:val="21"/>
        </w:rPr>
        <w:t xml:space="preserve"> e ingrese con </w:t>
      </w:r>
      <w:r>
        <w:rPr>
          <w:rFonts w:ascii="Consolas" w:hAnsi="Consolas"/>
          <w:b w:val="0"/>
          <w:color w:val="082032"/>
          <w:sz w:val="20"/>
        </w:rPr>
        <w:t>ADMIN_EMAIL</w:t>
      </w:r>
      <w:r>
        <w:rPr>
          <w:rFonts w:ascii="Calibri" w:hAnsi="Calibri"/>
          <w:b w:val="0"/>
          <w:sz w:val="21"/>
        </w:rPr>
        <w:t xml:space="preserve"> y </w:t>
      </w:r>
      <w:r>
        <w:rPr>
          <w:rFonts w:ascii="Consolas" w:hAnsi="Consolas"/>
          <w:b w:val="0"/>
          <w:color w:val="082032"/>
          <w:sz w:val="20"/>
        </w:rPr>
        <w:t>ADMIN_PASSWORD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2"/>
      </w:pPr>
      <w:r>
        <w:t>12.2 Embudo</w:t>
      </w:r>
    </w:p>
    <w:p>
      <w:r>
        <w:rPr>
          <w:rFonts w:ascii="Calibri" w:hAnsi="Calibri"/>
          <w:b w:val="0"/>
          <w:sz w:val="21"/>
        </w:rPr>
        <w:t>Las etapas son: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nuevo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calificado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propuesta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negociacion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ganado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perdido</w:t>
      </w:r>
    </w:p>
    <w:p>
      <w:r>
        <w:rPr>
          <w:rFonts w:ascii="Calibri" w:hAnsi="Calibri"/>
          <w:b w:val="0"/>
          <w:sz w:val="21"/>
        </w:rPr>
        <w:t>El administrador puede cambiar la etapa y el valor estimado de cada oportunidad.</w:t>
      </w:r>
    </w:p>
    <w:p>
      <w:pPr>
        <w:pStyle w:val="Heading2"/>
      </w:pPr>
      <w:r>
        <w:t>12.3 Crear cotización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Localice la oportunidad.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Cotizar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Indique subtotal, impuestos, vigencia, alcance y condiciones.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borrador o envío inmediato.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Verifique el PDF en la sección de cotizaciones.</w:t>
      </w:r>
    </w:p>
    <w:p>
      <w:pPr>
        <w:pStyle w:val="Heading2"/>
      </w:pPr>
      <w:r>
        <w:t>12.4 Notificar cliente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Notificar</w:t>
      </w:r>
      <w:r>
        <w:rPr>
          <w:rFonts w:ascii="Calibri" w:hAnsi="Calibri"/>
          <w:b w:val="0"/>
          <w:sz w:val="21"/>
        </w:rPr>
        <w:t xml:space="preserve"> en la oportunidad.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correo, WhatsApp o ambos.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Escriba asunto y mensaje.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Revise el resultado en </w:t>
      </w:r>
      <w:r>
        <w:rPr>
          <w:rFonts w:ascii="Calibri" w:hAnsi="Calibri"/>
          <w:b/>
          <w:sz w:val="21"/>
        </w:rPr>
        <w:t>Comunicaciones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2"/>
      </w:pPr>
      <w:r>
        <w:t>12.5 Pagos</w:t>
      </w:r>
    </w:p>
    <w:p>
      <w:r>
        <w:rPr>
          <w:rFonts w:ascii="Calibri" w:hAnsi="Calibri"/>
          <w:b w:val="0"/>
          <w:sz w:val="21"/>
        </w:rPr>
        <w:t>Revise referencia, cliente, monto, método y estado. Los estados disponibles son: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pendiente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aprobado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rechazado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reembolsado</w:t>
      </w:r>
    </w:p>
    <w:p>
      <w:pPr>
        <w:pStyle w:val="Heading1"/>
      </w:pPr>
      <w:r>
        <w:t>13. Gestión de imágenes y logo</w:t>
      </w:r>
    </w:p>
    <w:p>
      <w:r>
        <w:rPr>
          <w:rFonts w:ascii="Calibri" w:hAnsi="Calibri"/>
          <w:b w:val="0"/>
          <w:sz w:val="21"/>
        </w:rPr>
        <w:t>Las imágenes están 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assets/images/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El logo está 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assets/brand/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Puede reemplazar una imagen conservando el mismo nombre para evitar cambios en HTML. Mantenga: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Formato web compatible: PNG, JPG, WebP o SVG.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Resolución suficiente.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Tamaño optimizado.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Copia del original.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Texto alternativo actualizado cuando cambie el contenido visual.</w:t>
      </w:r>
    </w:p>
    <w:p>
      <w:pPr>
        <w:pStyle w:val="Heading1"/>
      </w:pPr>
      <w:r>
        <w:t>14. Operación y mantenimiento</w:t>
      </w:r>
    </w:p>
    <w:p>
      <w:pPr>
        <w:pStyle w:val="Heading2"/>
      </w:pPr>
      <w:r>
        <w:t>14.1 Comandos frecuentes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-f api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restart api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stop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</w:t>
            </w:r>
          </w:p>
        </w:tc>
      </w:tr>
    </w:tbl>
    <w:p>
      <w:pPr>
        <w:spacing w:after="0"/>
      </w:pPr>
    </w:p>
    <w:p>
      <w:pPr>
        <w:pStyle w:val="Heading2"/>
      </w:pPr>
      <w:r>
        <w:t>14.2 Aplicar cambios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</w:r>
          </w:p>
        </w:tc>
      </w:tr>
    </w:tbl>
    <w:p>
      <w:pPr>
        <w:spacing w:after="0"/>
      </w:pPr>
    </w:p>
    <w:p>
      <w:pPr>
        <w:pStyle w:val="Heading2"/>
      </w:pPr>
      <w:r>
        <w:t>14.3 Ejecutar pruebas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pnpm test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Si </w:t>
      </w:r>
      <w:r>
        <w:rPr>
          <w:rFonts w:ascii="Consolas" w:hAnsi="Consolas"/>
          <w:b w:val="0"/>
          <w:color w:val="082032"/>
          <w:sz w:val="20"/>
        </w:rPr>
        <w:t>node</w:t>
      </w:r>
      <w:r>
        <w:rPr>
          <w:rFonts w:ascii="Calibri" w:hAnsi="Calibri"/>
          <w:b w:val="0"/>
          <w:sz w:val="21"/>
        </w:rPr>
        <w:t xml:space="preserve"> no está disponible en la terminal, ejecute las pruebas dentro del contenedor: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exec api npm test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Todas las modificaciones deben terminar con: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Pruebas funcionales aprobadas.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Pruebas arquitectónicas SOLID aprobadas.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Página principal visible hasta el final.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Cursor normal visible.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API y PostgreSQL saludables.</w:t>
      </w:r>
    </w:p>
    <w:p>
      <w:pPr>
        <w:pStyle w:val="Heading1"/>
      </w:pPr>
      <w:r>
        <w:t>15. Respaldo y restauración</w:t>
      </w:r>
    </w:p>
    <w:p>
      <w:pPr>
        <w:pStyle w:val="Heading2"/>
      </w:pPr>
      <w:r>
        <w:t>15.1 Crear respaldo</w:t>
      </w:r>
    </w:p>
    <w:p>
      <w:r>
        <w:rPr>
          <w:rFonts w:ascii="Calibri" w:hAnsi="Calibri"/>
          <w:b w:val="0"/>
          <w:sz w:val="21"/>
        </w:rPr>
        <w:t>En PowerShell: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exec -T postgres pg_dump -U fmv -d fmv_comercial -Fc &gt; respaldo-fmv.dump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Guarde también: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en un almacén seguro.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assets/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Certificados o configuración de Nginx.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Código fuente y migraciones.</w:t>
      </w:r>
    </w:p>
    <w:p>
      <w:pPr>
        <w:pStyle w:val="Heading2"/>
      </w:pPr>
      <w:r>
        <w:t>15.2 Restaurar</w:t>
      </w:r>
    </w:p>
    <w:p>
      <w:r>
        <w:rPr>
          <w:rFonts w:ascii="Calibri" w:hAnsi="Calibri"/>
          <w:b w:val="0"/>
          <w:sz w:val="21"/>
        </w:rPr>
        <w:t>Detenga temporalmente el acceso de usuarios y ejecute: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cp respaldo-fmv.dump postgres:/tmp/respaldo-fmv.dump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exec postgres pg_restore -U fmv -d fmv_comercial --clean --if-exists /tmp/respaldo-fmv.dump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Pruebe periódicamente la restauración en un ambiente diferente. Un respaldo no probado no debe considerarse confiable.</w:t>
      </w:r>
    </w:p>
    <w:p>
      <w:pPr>
        <w:pStyle w:val="Heading1"/>
      </w:pPr>
      <w:r>
        <w:t>16. Actualización segura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Cree respaldo de PostgreSQL.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Guarde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y los recursos gráficos.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Obtenga la nueva versión.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Revise cambios de </w:t>
      </w:r>
      <w:r>
        <w:rPr>
          <w:rFonts w:ascii="Consolas" w:hAnsi="Consolas"/>
          <w:b w:val="0"/>
          <w:color w:val="082032"/>
          <w:sz w:val="20"/>
        </w:rPr>
        <w:t>.env.example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Ejecute pruebas.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Reconstruya: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</w:r>
          </w:p>
        </w:tc>
      </w:tr>
    </w:tbl>
    <w:p>
      <w:pPr>
        <w:spacing w:after="0"/>
      </w:pPr>
    </w:p>
    <w:p>
      <w:pPr>
        <w:pStyle w:val="ListNumber"/>
      </w:pPr>
      <w:r>
        <w:rPr>
          <w:rFonts w:ascii="Calibri" w:hAnsi="Calibri"/>
          <w:b w:val="0"/>
          <w:sz w:val="21"/>
        </w:rPr>
        <w:t>Compruebe: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Invoke-RestMethod https://su-dominio.com/health</w:t>
            </w:r>
          </w:p>
        </w:tc>
      </w:tr>
    </w:tbl>
    <w:p>
      <w:pPr>
        <w:spacing w:after="0"/>
      </w:pPr>
    </w:p>
    <w:p>
      <w:pPr>
        <w:pStyle w:val="ListNumber"/>
      </w:pPr>
      <w:r>
        <w:rPr>
          <w:rFonts w:ascii="Calibri" w:hAnsi="Calibri"/>
          <w:b w:val="0"/>
          <w:sz w:val="21"/>
        </w:rPr>
        <w:t>Verifique manualmente página, portal, CRM, autenticación y cotizaciones.</w:t>
      </w:r>
    </w:p>
    <w:p>
      <w:pPr>
        <w:pStyle w:val="Heading1"/>
      </w:pPr>
      <w:r>
        <w:t>17. Seguridad antes de producción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Cambiar todas las claves predeterminadas.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Usar contraseñas únicas y largas.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Generar </w:t>
      </w:r>
      <w:r>
        <w:rPr>
          <w:rFonts w:ascii="Consolas" w:hAnsi="Consolas"/>
          <w:b w:val="0"/>
          <w:color w:val="082032"/>
          <w:sz w:val="20"/>
        </w:rPr>
        <w:t>JWT_SECRET</w:t>
      </w:r>
      <w:r>
        <w:rPr>
          <w:rFonts w:ascii="Calibri" w:hAnsi="Calibri"/>
          <w:b w:val="0"/>
          <w:sz w:val="21"/>
        </w:rPr>
        <w:t xml:space="preserve"> aleatorio.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Habilitar HTTPS.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Restringir </w:t>
      </w:r>
      <w:r>
        <w:rPr>
          <w:rFonts w:ascii="Consolas" w:hAnsi="Consolas"/>
          <w:b w:val="0"/>
          <w:color w:val="082032"/>
          <w:sz w:val="20"/>
        </w:rPr>
        <w:t>FRONTEND_URL</w:t>
      </w:r>
      <w:r>
        <w:rPr>
          <w:rFonts w:ascii="Calibri" w:hAnsi="Calibri"/>
          <w:b w:val="0"/>
          <w:sz w:val="21"/>
        </w:rPr>
        <w:t xml:space="preserve"> al dominio real.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Utilizar un usuario PostgreSQL con privilegios mínimos.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 publicar el puerto de PostgreSQL.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Configurar firewall.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Mantener Docker y dependencias actualizados.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Ejecutar </w:t>
      </w:r>
      <w:r>
        <w:rPr>
          <w:rFonts w:ascii="Consolas" w:hAnsi="Consolas"/>
          <w:b w:val="0"/>
          <w:color w:val="082032"/>
          <w:sz w:val="20"/>
        </w:rPr>
        <w:t>pnpm audit --prod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Configurar respaldos automáticos.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Implementar monitoreo y alertas.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Rotar tokens SMTP, WhatsApp y pagos.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Revisar logs sin exponer información sensible.</w:t>
      </w:r>
    </w:p>
    <w:p>
      <w:pPr>
        <w:pStyle w:val="Heading1"/>
      </w:pPr>
      <w:r>
        <w:t>18. Solución de problemas</w:t>
      </w:r>
    </w:p>
    <w:p>
      <w:pPr>
        <w:pStyle w:val="Heading2"/>
      </w:pPr>
      <w:r>
        <w:t>Puerto 4100 ocupado</w:t>
      </w:r>
    </w:p>
    <w:p>
      <w:r>
        <w:rPr>
          <w:rFonts w:ascii="Calibri" w:hAnsi="Calibri"/>
          <w:b w:val="0"/>
          <w:sz w:val="21"/>
        </w:rPr>
        <w:t>Cambie: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APP_PORT=4200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APP_BASE_URL=http://localhost:4200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FRONTEND_URL=http://localhost:4200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Luego reconstruya.</w:t>
      </w:r>
    </w:p>
    <w:p>
      <w:pPr>
        <w:pStyle w:val="Heading2"/>
      </w:pPr>
      <w:r>
        <w:t>API no saludable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api --tail 200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postgres --tail 200</w:t>
            </w:r>
          </w:p>
        </w:tc>
      </w:tr>
    </w:tbl>
    <w:p>
      <w:pPr>
        <w:spacing w:after="0"/>
      </w:pPr>
    </w:p>
    <w:p>
      <w:pPr>
        <w:pStyle w:val="Heading2"/>
      </w:pPr>
      <w:r>
        <w:t>Correos no llegan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Confirme SMTP.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puerto y TLS.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SPF, DKIM y DMARC.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Consulte la tabla de comunicaciones desde el CRM.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Compruebe spam y reputación del remitente.</w:t>
      </w:r>
    </w:p>
    <w:p>
      <w:pPr>
        <w:pStyle w:val="Heading2"/>
      </w:pPr>
      <w:r>
        <w:t>El contenido inferior no aparece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Recargue sin caché.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Compruebe que </w:t>
      </w:r>
      <w:r>
        <w:rPr>
          <w:rFonts w:ascii="Consolas" w:hAnsi="Consolas"/>
          <w:b w:val="0"/>
          <w:color w:val="082032"/>
          <w:sz w:val="20"/>
        </w:rPr>
        <w:t>fmv-infrasec.html</w:t>
      </w:r>
      <w:r>
        <w:rPr>
          <w:rFonts w:ascii="Calibri" w:hAnsi="Calibri"/>
          <w:b w:val="0"/>
          <w:sz w:val="21"/>
        </w:rPr>
        <w:t xml:space="preserve"> responde HTTP 200.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Ejecute </w:t>
      </w:r>
      <w:r>
        <w:rPr>
          <w:rFonts w:ascii="Consolas" w:hAnsi="Consolas"/>
          <w:b w:val="0"/>
          <w:color w:val="082032"/>
          <w:sz w:val="20"/>
        </w:rPr>
        <w:t>pnpm test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errores del navegador.</w:t>
      </w:r>
    </w:p>
    <w:p>
      <w:pPr>
        <w:pStyle w:val="Heading2"/>
      </w:pPr>
      <w:r>
        <w:t>No se ve el cursor</w:t>
      </w:r>
    </w:p>
    <w:p>
      <w:r>
        <w:rPr>
          <w:rFonts w:ascii="Calibri" w:hAnsi="Calibri"/>
          <w:b w:val="0"/>
          <w:sz w:val="21"/>
        </w:rPr>
        <w:t>La página está configurada para usar el cursor normal. Si desaparece: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Recargue sin caché.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Compruebe que no exista </w:t>
      </w:r>
      <w:r>
        <w:rPr>
          <w:rFonts w:ascii="Consolas" w:hAnsi="Consolas"/>
          <w:b w:val="0"/>
          <w:color w:val="082032"/>
          <w:sz w:val="20"/>
        </w:rPr>
        <w:t>cursor: none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Ejecute las pruebas de regresión.</w:t>
      </w:r>
    </w:p>
    <w:p>
      <w:pPr>
        <w:pStyle w:val="Heading2"/>
      </w:pPr>
      <w:r>
        <w:t>La base no inicia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Compruebe espacio en disco.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Verifique </w:t>
      </w:r>
      <w:r>
        <w:rPr>
          <w:rFonts w:ascii="Consolas" w:hAnsi="Consolas"/>
          <w:b w:val="0"/>
          <w:color w:val="082032"/>
          <w:sz w:val="20"/>
        </w:rPr>
        <w:t>POSTGRES_PASSWORD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permisos del volumen Docker.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 elimine el volumen sin respaldo.</w:t>
      </w:r>
    </w:p>
    <w:p>
      <w:pPr>
        <w:pStyle w:val="Heading1"/>
      </w:pPr>
      <w:r>
        <w:t>19. Lista de verificación de publicación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Dominio resuelve a la IP correcta.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HTTPS válido y renovación automática.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de producción configurado.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Claves predeterminadas eliminadas.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SMTP verificado.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SPF, DKIM y DMARC configurados.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WhatsApp aprobado o deshabilitado conscientemente.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Pasarela real conectada y webhook validado.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PostgreSQL no está publicado.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Respaldo automático probado.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</w:t>
      </w:r>
      <w:r>
        <w:rPr>
          <w:rFonts w:ascii="Consolas" w:hAnsi="Consolas"/>
          <w:b w:val="0"/>
          <w:color w:val="082032"/>
          <w:sz w:val="20"/>
        </w:rPr>
        <w:t>pnpm test</w:t>
      </w:r>
      <w:r>
        <w:rPr>
          <w:rFonts w:ascii="Calibri" w:hAnsi="Calibri"/>
          <w:b w:val="0"/>
          <w:sz w:val="21"/>
        </w:rPr>
        <w:t xml:space="preserve"> aprobado.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Salud responde </w:t>
      </w:r>
      <w:r>
        <w:rPr>
          <w:rFonts w:ascii="Consolas" w:hAnsi="Consolas"/>
          <w:b w:val="0"/>
          <w:color w:val="082032"/>
          <w:sz w:val="20"/>
        </w:rPr>
        <w:t>ok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Página, portal y CRM revisados.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Logo definitivo e imágenes optimizadas.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Política de privacidad y datos de contacto reales.</w:t>
      </w:r>
    </w:p>
    <w:p>
      <w:pPr>
        <w:pStyle w:val="Heading1"/>
      </w:pPr>
      <w:r>
        <w:t>20. Soporte</w:t>
      </w:r>
    </w:p>
    <w:p>
      <w:r>
        <w:rPr>
          <w:rFonts w:ascii="Calibri" w:hAnsi="Calibri"/>
          <w:b w:val="0"/>
          <w:sz w:val="21"/>
        </w:rPr>
        <w:t>Al reportar un problema incluya: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Fecha y hora.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URL afectada.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Acción realizada.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Mensaje visible.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Salida de </w:t>
      </w:r>
      <w:r>
        <w:rPr>
          <w:rFonts w:ascii="Consolas" w:hAnsi="Consolas"/>
          <w:b w:val="0"/>
          <w:color w:val="082032"/>
          <w:sz w:val="20"/>
        </w:rPr>
        <w:t>docker compose ps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Logs relevantes sin contraseñas ni tokens.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Navegador y sistema operativo.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5646E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 w:val="0"/>
        <w:color w:val="55646E"/>
        <w:sz w:val="17"/>
      </w:rPr>
      <w:t>FMV InfraSec  |  Manual de instalación y uso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96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96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8203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 y uso - FMV InfraSec</dc:title>
  <dc:subject>Instalación, configuración, operación y mantenimiento</dc:subject>
  <dc:creator>FMV InfraSec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