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</w:p>
    <w:p>
      <w:pPr>
        <w:pStyle w:val="Title"/>
        <w:jc w:val="left"/>
      </w:pPr>
      <w:r>
        <w:t>HyperHealth Connect</w:t>
      </w:r>
    </w:p>
    <w:p>
      <w:pPr>
        <w:spacing w:after="60"/>
      </w:pPr>
      <w:r>
        <w:rPr>
          <w:b/>
          <w:color w:val="246B9E"/>
          <w:sz w:val="30"/>
        </w:rPr>
        <w:t>Healthcare Interoperability Fabric</w:t>
      </w:r>
    </w:p>
    <w:p>
      <w:pPr>
        <w:spacing w:after="280"/>
      </w:pPr>
      <w:r>
        <w:rPr>
          <w:color w:val="566573"/>
          <w:sz w:val="23"/>
        </w:rPr>
        <w:t>Documento fondativo di architettura e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Borders>
              <w:top w:val="single" w:sz="6" w:color="B8C7D1"/>
              <w:left w:val="single" w:sz="6" w:color="B8C7D1"/>
              <w:bottom w:val="single" w:sz="6" w:color="B8C7D1"/>
              <w:right w:val="single" w:sz="6" w:color="B8C7D1"/>
              <w:insideH w:val="single" w:sz="6" w:color="B8C7D1"/>
              <w:insideV w:val="single" w:sz="6" w:color="B8C7D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24D"/>
              </w:rPr>
              <w:t xml:space="preserve">Scopo. </w:t>
            </w:r>
            <w:r>
              <w:t>Definire le decisioni architetturali iniziali, il perimetro tecnologico e una roadmap in quattro fasi. Le fasi 1 e 2 sono le uniche classificabili come MVP; al termine della fase 4 il prodotto deve essere completo, stabile e maturo per uso enterprise.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shd w:fill="F5F7F9"/>
          </w:tcPr>
          <w:p>
            <w:r>
              <w:rPr>
                <w:b/>
              </w:rPr>
              <w:t>Nome di lavoro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</w:tcPr>
          <w:p>
            <w:r>
              <w:t>HyperHealth Connect (HHC)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shd w:fill="F5F7F9"/>
          </w:tcPr>
          <w:p>
            <w:r>
              <w:rPr>
                <w:b/>
              </w:rPr>
              <w:t>Versione documento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</w:tcPr>
          <w:p>
            <w:r>
              <w:t>0.1 — foundation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shd w:fill="F5F7F9"/>
          </w:tcPr>
          <w:p>
            <w:r>
              <w:rPr>
                <w:b/>
              </w:rPr>
              <w:t>Posizionamento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</w:tcPr>
          <w:p>
            <w:r>
              <w:t>Integration fabric sanitario: connect, route, transform, observe, replay</w:t>
            </w:r>
          </w:p>
        </w:tc>
      </w:tr>
      <w:tr>
        <w:trPr>
          <w:cantSplit/>
        </w:trPr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shd w:fill="F5F7F9"/>
          </w:tcPr>
          <w:p>
            <w:r>
              <w:rPr>
                <w:b/>
              </w:rPr>
              <w:t>Principio guida</w:t>
            </w:r>
          </w:p>
        </w:tc>
        <w:tc>
          <w:tcPr>
            <w:tcW w:type="dxa" w:w="5083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</w:tcPr>
          <w:p>
            <w:r>
              <w:t>Integrare componenti open source maturi; sviluppare internamente il control plane, il modello operativo e l’esperienza di prodotto.</w:t>
            </w:r>
          </w:p>
        </w:tc>
      </w:tr>
    </w:tbl>
    <w:p/>
    <w:p>
      <w:r>
        <w:rPr>
          <w:b/>
          <w:color w:val="246B9E"/>
        </w:rPr>
        <w:t xml:space="preserve">Naming — decisione: </w:t>
      </w:r>
      <w:r>
        <w:t>HyperHealth Connect è preferito perché immediato, descrittivo e comprensibile a livello internazionale. In una fase iniziale di adozione, la chiarezza del nome è più importante dell’originalità astratta del brand.</w:t>
      </w:r>
    </w:p>
    <w:p>
      <w:r>
        <w:rPr>
          <w:b/>
          <w:color w:val="246B9E"/>
        </w:rPr>
        <w:t xml:space="preserve">Ambizione: </w:t>
      </w:r>
      <w:r>
        <w:t>non un “altro Mirth”, ma una piattaforma di interoperabilità sanitaria capace di coprire progressivamente HL7v2, FHIR, CDA/IHE, DICOM, API, database, file e messaggistica/eventi, con governance e osservabilità integrate.</w:t>
      </w:r>
    </w:p>
    <w:p>
      <w:pPr>
        <w:pStyle w:val="Heading1"/>
      </w:pPr>
      <w:r>
        <w:t>Architettura di riferimento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shd w:fill="17324D"/>
          </w:tcPr>
          <w:p>
            <w:r>
              <w:rPr>
                <w:b/>
                <w:color w:val="FFFFFF"/>
                <w:sz w:val="20"/>
              </w:rPr>
              <w:t>CONTROL PLANE</w:t>
              <w:br/>
            </w:r>
            <w:r>
              <w:rPr>
                <w:color w:val="FFFFFF"/>
                <w:sz w:val="17"/>
              </w:rPr>
              <w:t>Console Web · Connector Registry · Flow/Mapping Registry · Tenant/Organization · Security · Deployment · Audit/Replay</w:t>
            </w:r>
          </w:p>
        </w:tc>
      </w:tr>
      <w:tr>
        <w:trPr>
          <w:cantSplit/>
        </w:trPr>
        <w:tc>
          <w:tcPr>
            <w:tcW w:type="dxa" w:w="1016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shd w:fill="EAF2F8"/>
          </w:tcPr>
          <w:p>
            <w:r>
              <w:rPr>
                <w:b/>
                <w:color w:val="17324D"/>
                <w:sz w:val="20"/>
              </w:rPr>
              <w:t>DATA PLANE</w:t>
              <w:br/>
            </w:r>
            <w:r>
              <w:rPr>
                <w:color w:val="1F2933"/>
                <w:sz w:val="17"/>
              </w:rPr>
              <w:t>Runtime HHC Worker: Apache Camel + IPF + HAPI + moduli connector; scalabile orizzontalmente</w:t>
            </w:r>
          </w:p>
        </w:tc>
      </w:tr>
      <w:tr>
        <w:trPr>
          <w:cantSplit/>
        </w:trPr>
        <w:tc>
          <w:tcPr>
            <w:tcW w:type="dxa" w:w="1016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shd w:fill="EAF2F8"/>
          </w:tcPr>
          <w:p>
            <w:r>
              <w:rPr>
                <w:b/>
                <w:color w:val="17324D"/>
                <w:sz w:val="20"/>
              </w:rPr>
              <w:t>EVENT &amp; CONTRACT LAYER</w:t>
              <w:br/>
            </w:r>
            <w:r>
              <w:rPr>
                <w:color w:val="1F2933"/>
                <w:sz w:val="17"/>
              </w:rPr>
              <w:t>Kafka opzionale per asincrono/replay/fan-out · Apicurio per schema/API contracts</w:t>
            </w:r>
          </w:p>
        </w:tc>
      </w:tr>
      <w:tr>
        <w:trPr>
          <w:cantSplit/>
        </w:trPr>
        <w:tc>
          <w:tcPr>
            <w:tcW w:type="dxa" w:w="1016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shd w:fill="F5F7F9"/>
          </w:tcPr>
          <w:p>
            <w:r>
              <w:rPr>
                <w:b/>
                <w:color w:val="17324D"/>
                <w:sz w:val="20"/>
              </w:rPr>
              <w:t>PERSISTENCE &amp; OBSERVABILITY</w:t>
              <w:br/>
            </w:r>
            <w:r>
              <w:rPr>
                <w:color w:val="1F2933"/>
                <w:sz w:val="17"/>
              </w:rPr>
              <w:t>PostgreSQL · object storage S3-compatible · OpenTelemetry · metrics/traces/logs</w:t>
            </w:r>
          </w:p>
        </w:tc>
      </w:tr>
      <w:tr>
        <w:trPr>
          <w:cantSplit/>
        </w:trPr>
        <w:tc>
          <w:tcPr>
            <w:tcW w:type="dxa" w:w="10166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shd w:fill="F5F7F9"/>
          </w:tcPr>
          <w:p>
            <w:r>
              <w:rPr>
                <w:b/>
                <w:color w:val="17324D"/>
                <w:sz w:val="20"/>
              </w:rPr>
              <w:t>EDGE / HEALTHCARE SYSTEMS</w:t>
              <w:br/>
            </w:r>
            <w:r>
              <w:rPr>
                <w:color w:val="1F2933"/>
                <w:sz w:val="17"/>
              </w:rPr>
              <w:t>HL7 MLLP · FHIR/REST · IHE/XDS · CDA · DICOM/DICOMweb · SOAP · DB · SFTP/File</w:t>
            </w:r>
          </w:p>
        </w:tc>
      </w:tr>
    </w:tbl>
    <w:p>
      <w:pPr>
        <w:pStyle w:val="Heading1"/>
      </w:pPr>
      <w:r>
        <w:t>Le 17 decisioni fondative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547"/>
            <w:shd w:fill="17324D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20"/>
            <w:shd w:fill="17324D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Decisione</w:t>
            </w:r>
          </w:p>
        </w:tc>
        <w:tc>
          <w:tcPr>
            <w:tcW w:type="dxa" w:w="6869"/>
            <w:shd w:fill="17324D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Sintesi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1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Librerie fondamentali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Riutilizzare routing e standard sanitari maturi; concentrare il codice proprietario sul prodotto.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2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Mirth Connect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t>Benchmark e migrazione, non fondazione tecnica del nuovo prodotto.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3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Control Plane / Data Plane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Separare governance e runtime per scalabilità, isolamento e deployment distribuito.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4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Modular monolith first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t>Evitare microservizi prematuri; estrarre servizi solo quando esiste un motivo operativo.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5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HHC Connector SDK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Astrazione stabile sopra Camel/HAPI/IPF e punto di estensione per connector proprietari.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6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HHC Integration Envelope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t>Envelope canonico/versionato; payload originale sempre preservato.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7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FHIR come modello, non dogma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Supportare R4/R4B/R5 senza obbligare ogni flusso a passare da FHIR.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8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IHE tramite IPF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t>Riutilizzare profili e transazioni IHE complesse già implementate.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9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Imaging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dcm4che nel core connector; Orthanc come integrazione opzionale, non PACS embedded di default.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10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Sincrono + asincrono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t>Fast path per richieste sincrone; event path per resilienza, fan-out e replay.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11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Schema Registry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Versionare contratti, schema, API e compatibilità.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12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Storage specializzato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t>Configurazione, payload, eventi e ricerca tecnica su storage differenti.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13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Security by design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OIDC/OAuth2/SAML, RBAC, service identity, certificate e secret lifecycle.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14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Observability by design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t>Trace ID end-to-end; metriche, log e tracing come feature di prodotto.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15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UI + configuration as code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Visual flow designer sopra definizioni dichiarative Git-friendly.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16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rPr>
                <w:b/>
              </w:rPr>
              <w:t>Build vs buy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  <w:shd w:fill="F8FAFB"/>
          </w:tcPr>
          <w:p>
            <w:r>
              <w:t>Sviluppare differenziazione; non riscrivere protocolli e standard già disponibili.</w:t>
            </w:r>
          </w:p>
        </w:tc>
      </w:tr>
      <w:tr>
        <w:trPr>
          <w:cantSplit/>
        </w:trPr>
        <w:tc>
          <w:tcPr>
            <w:tcW w:type="dxa" w:w="547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17</w:t>
            </w:r>
          </w:p>
        </w:tc>
        <w:tc>
          <w:tcPr>
            <w:tcW w:type="dxa" w:w="252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b/>
              </w:rPr>
              <w:t>Stack baseline</w:t>
            </w:r>
          </w:p>
        </w:tc>
        <w:tc>
          <w:tcPr>
            <w:tcW w:type="dxa" w:w="6869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t>Java/Spring/Camel/IPF/HAPI con componenti infrastrutturali sostituibili e container-first.</w:t>
            </w:r>
          </w:p>
        </w:tc>
      </w:tr>
    </w:tbl>
    <w:p>
      <w:pPr>
        <w:pStyle w:val="Heading2"/>
        <w:keepNext/>
      </w:pPr>
      <w:r>
        <w:t>1. Librerie fondamentali</w:t>
      </w:r>
    </w:p>
    <w:p>
      <w:pPr>
        <w:spacing w:after="40"/>
      </w:pPr>
      <w:r>
        <w:t>La piattaforma deve assemblare componenti maturi e concentrarsi sull’orchestrazione sanitaria e sulla governance.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Core routing: </w:t>
      </w:r>
      <w:r>
        <w:t>Apache Camel per routing, endpoint, retry, trasformazioni, REST/SOAP, JDBC, SFTP, JMS/Kafka e pattern EIP.</w:t>
      </w:r>
    </w:p>
    <w:p>
      <w:pPr>
        <w:pStyle w:val="CompactBullet"/>
      </w:pPr>
      <w:r>
        <w:t xml:space="preserve">• </w:t>
      </w:r>
      <w:r>
        <w:rPr>
          <w:b/>
        </w:rPr>
        <w:t xml:space="preserve">Healthcare: </w:t>
      </w:r>
      <w:r>
        <w:t>Open eHealth IPF per IHE; HAPI HL7v2 per parsing/validazione HL7; HAPI FHIR per modelli, client/server e validation; dcm4che per DICOM.</w:t>
      </w:r>
    </w:p>
    <w:p>
      <w:pPr>
        <w:pStyle w:val="CompactBullet"/>
      </w:pPr>
      <w:r>
        <w:t xml:space="preserve">• </w:t>
      </w:r>
      <w:r>
        <w:rPr>
          <w:b/>
        </w:rPr>
        <w:t xml:space="preserve">Platform: </w:t>
      </w:r>
      <w:r>
        <w:t>PostgreSQL, Kafka, Apicurio Registry, storage S3-compatible, Keycloak, OpenTelemetry e frontend React/TypeScript.</w:t>
      </w:r>
    </w:p>
    <w:p>
      <w:pPr>
        <w:pStyle w:val="CompactBullet"/>
      </w:pPr>
      <w:r>
        <w:t xml:space="preserve">• </w:t>
      </w:r>
      <w:r>
        <w:rPr>
          <w:b/>
        </w:rPr>
        <w:t xml:space="preserve">Vincolo: </w:t>
      </w:r>
      <w:r>
        <w:t>Ogni dipendenza deve essere isolata dietro API HHC, con SBOM, policy di upgrade e revisione licenze prima della distribuzione commerciale.</w:t>
      </w:r>
    </w:p>
    <w:p>
      <w:pPr>
        <w:pStyle w:val="Heading2"/>
        <w:keepNext/>
      </w:pPr>
      <w:r>
        <w:t>2. Mirth Connect: benchmark, non dipendenza</w:t>
      </w:r>
    </w:p>
    <w:p>
      <w:pPr>
        <w:spacing w:after="40"/>
      </w:pPr>
      <w:r>
        <w:t>HyperHealth Connect deve poter sostituire progressivamente gli integration engine tradizionali senza ereditarne l’architettura.</w:t>
      </w:r>
    </w:p>
    <w:p>
      <w:pPr>
        <w:pStyle w:val="CompactBullet"/>
      </w:pPr>
      <w:r>
        <w:t xml:space="preserve">• </w:t>
      </w:r>
      <w:r>
        <w:rPr>
          <w:b/>
        </w:rPr>
        <w:t xml:space="preserve">Uso: </w:t>
      </w:r>
      <w:r>
        <w:t>Benchmark funzionale e UX; analisi dei pattern di canale, mapping, retry, monitoraggio e migrazione.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Non uso: </w:t>
      </w:r>
      <w:r>
        <w:t>Nessuna dipendenza runtime obbligatoria da Mirth/NextGen Connect.</w:t>
      </w:r>
    </w:p>
    <w:p>
      <w:pPr>
        <w:pStyle w:val="CompactBullet"/>
      </w:pPr>
      <w:r>
        <w:t xml:space="preserve">• </w:t>
      </w:r>
      <w:r>
        <w:rPr>
          <w:b/>
        </w:rPr>
        <w:t xml:space="preserve">Obiettivo futuro: </w:t>
      </w:r>
      <w:r>
        <w:t>Import/migration toolkit per agevolare il passaggio da configurazioni esistenti a flow HHC dove tecnicamente possibile.</w:t>
      </w:r>
    </w:p>
    <w:p>
      <w:pPr>
        <w:pStyle w:val="Heading2"/>
        <w:keepNext/>
      </w:pPr>
      <w:r>
        <w:t>3. Separazione Control Plane / Data Plane</w:t>
      </w:r>
    </w:p>
    <w:p>
      <w:pPr>
        <w:spacing w:after="40"/>
      </w:pPr>
      <w:r>
        <w:t>La governance deve essere separata dall’esecuzione dei flussi.</w:t>
      </w:r>
    </w:p>
    <w:p>
      <w:pPr>
        <w:pStyle w:val="CompactBullet"/>
      </w:pPr>
      <w:r>
        <w:t xml:space="preserve">• </w:t>
      </w:r>
      <w:r>
        <w:rPr>
          <w:b/>
        </w:rPr>
        <w:t xml:space="preserve">Control Plane: </w:t>
      </w:r>
      <w:r>
        <w:t>Configura connector, flow, mapping, tenant, segreti, versioni, deployment, policy, audit e replay.</w:t>
      </w:r>
    </w:p>
    <w:p>
      <w:pPr>
        <w:pStyle w:val="CompactBullet"/>
      </w:pPr>
      <w:r>
        <w:t xml:space="preserve">• </w:t>
      </w:r>
      <w:r>
        <w:rPr>
          <w:b/>
        </w:rPr>
        <w:t xml:space="preserve">Data Plane: </w:t>
      </w:r>
      <w:r>
        <w:t>Worker HHC eseguono i flow; devono poter essere replicati e distribuiti vicino ai sistemi sorgente/destinazione.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Beneficio: </w:t>
      </w:r>
      <w:r>
        <w:t>Scalabilità orizzontale, isolamento dei carichi, aggiornamenti più sicuri e topologie multi-azienda/multi-datacenter.</w:t>
      </w:r>
    </w:p>
    <w:p>
      <w:pPr>
        <w:pStyle w:val="Heading2"/>
        <w:keepNext/>
      </w:pPr>
      <w:r>
        <w:t>4. Modular monolith first</w:t>
      </w:r>
    </w:p>
    <w:p>
      <w:pPr>
        <w:spacing w:after="40"/>
      </w:pPr>
      <w:r>
        <w:t>La complessità distribuita non deve precedere il bisogno reale.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Control Plane: </w:t>
      </w:r>
      <w:r>
        <w:t>Monolite modulare con confini espliciti tra dominio, deployment, security, registry, audit e UI API.</w:t>
      </w:r>
    </w:p>
    <w:p>
      <w:pPr>
        <w:pStyle w:val="CompactBullet"/>
      </w:pPr>
      <w:r>
        <w:t xml:space="preserve">• </w:t>
      </w:r>
      <w:r>
        <w:rPr>
          <w:b/>
        </w:rPr>
        <w:t xml:space="preserve">Runtime: </w:t>
      </w:r>
      <w:r>
        <w:t>Processo separato e stateless per quanto possibile.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Regola: </w:t>
      </w:r>
      <w:r>
        <w:t>Un modulo diventa microservizio solo per requisiti verificabili di scalabilità, isolamento, ownership o lifecycle indipendente.</w:t>
      </w:r>
    </w:p>
    <w:p>
      <w:pPr>
        <w:pStyle w:val="Heading2"/>
        <w:keepNext/>
      </w:pPr>
      <w:r>
        <w:t>5. HHC Connector SDK</w:t>
      </w:r>
    </w:p>
    <w:p>
      <w:pPr>
        <w:spacing w:after="40"/>
      </w:pPr>
      <w:r>
        <w:t>Il Connector SDK è il contratto stabile tra il prodotto e le librerie sottostanti.</w:t>
      </w:r>
    </w:p>
    <w:p>
      <w:pPr>
        <w:pStyle w:val="CompactBullet"/>
      </w:pPr>
      <w:r>
        <w:t xml:space="preserve">• </w:t>
      </w:r>
      <w:r>
        <w:rPr>
          <w:b/>
        </w:rPr>
        <w:t xml:space="preserve">Responsabilità: </w:t>
      </w:r>
      <w:r>
        <w:t>Lifecycle, configurazione tipizzata, capabilities, health, input/output, retry policy, metrics e test contract.</w:t>
      </w:r>
    </w:p>
    <w:p>
      <w:pPr>
        <w:pStyle w:val="CompactBullet"/>
      </w:pPr>
      <w:r>
        <w:t xml:space="preserve">• </w:t>
      </w:r>
      <w:r>
        <w:rPr>
          <w:b/>
        </w:rPr>
        <w:t xml:space="preserve">Astrazione: </w:t>
      </w:r>
      <w:r>
        <w:t>Camel/HAPI/IPF/dcm4che restano dettagli implementativi dei connector ufficiali.</w:t>
      </w:r>
    </w:p>
    <w:p>
      <w:pPr>
        <w:pStyle w:val="CompactBullet"/>
      </w:pPr>
      <w:r>
        <w:t xml:space="preserve">• </w:t>
      </w:r>
      <w:r>
        <w:rPr>
          <w:b/>
        </w:rPr>
        <w:t xml:space="preserve">Ecosistema: </w:t>
      </w:r>
      <w:r>
        <w:t>In fase matura deve consentire connector di terze parti senza accesso al core interno.</w:t>
      </w:r>
    </w:p>
    <w:p>
      <w:pPr>
        <w:pStyle w:val="CompactBullet"/>
      </w:pPr>
      <w:r>
        <w:t xml:space="preserve">• </w:t>
      </w:r>
      <w:r>
        <w:rPr>
          <w:b/>
        </w:rPr>
        <w:t xml:space="preserve">Compatibilità: </w:t>
      </w:r>
      <w:r>
        <w:t>Versionamento semantico dell’SDK e test di compatibilità automatizzati.</w:t>
      </w:r>
    </w:p>
    <w:p>
      <w:pPr>
        <w:pStyle w:val="Heading2"/>
        <w:keepNext/>
      </w:pPr>
      <w:r>
        <w:t>6. HHC Integration Envelope</w:t>
      </w:r>
    </w:p>
    <w:p>
      <w:pPr>
        <w:spacing w:after="40"/>
      </w:pPr>
      <w:r>
        <w:t>Ogni scambio deve avere un’identità tecnica uniforme senza distruggere il formato clinico originario.</w:t>
      </w:r>
    </w:p>
    <w:p>
      <w:pPr>
        <w:pStyle w:val="CompactBullet"/>
      </w:pPr>
      <w:r>
        <w:t xml:space="preserve">• </w:t>
      </w:r>
      <w:r>
        <w:rPr>
          <w:b/>
        </w:rPr>
        <w:t xml:space="preserve">Metadati minimi: </w:t>
      </w:r>
      <w:r>
        <w:t>messageId, correlationId/traceId, tenant, source, destination, standard/versione, tipo messaggio, timestamp, stato e checksum.</w:t>
      </w:r>
    </w:p>
    <w:p>
      <w:pPr>
        <w:pStyle w:val="CompactBullet"/>
      </w:pPr>
      <w:r>
        <w:t xml:space="preserve">• </w:t>
      </w:r>
      <w:r>
        <w:rPr>
          <w:b/>
        </w:rPr>
        <w:t xml:space="preserve">Payload: </w:t>
      </w:r>
      <w:r>
        <w:t>Il raw originale è immutabile e referenziato; rappresentazioni parsed/normalized/transformed sono derivate e versionate.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Pipeline: </w:t>
      </w:r>
      <w:r>
        <w:t>RAW → PARSED → VALIDATED → NORMALIZED (opzionale) → TRANSFORMED → DELIVERED.</w:t>
      </w:r>
    </w:p>
    <w:p>
      <w:pPr>
        <w:pStyle w:val="CompactBullet"/>
      </w:pPr>
      <w:r>
        <w:t xml:space="preserve">• </w:t>
      </w:r>
      <w:r>
        <w:rPr>
          <w:b/>
        </w:rPr>
        <w:t xml:space="preserve">Risultato: </w:t>
      </w:r>
      <w:r>
        <w:t>Replay affidabile, audit, debugging, riconciliazione e reprocessing con versioni successive dei mapping.</w:t>
      </w:r>
    </w:p>
    <w:p>
      <w:pPr>
        <w:pStyle w:val="Heading2"/>
        <w:keepNext/>
      </w:pPr>
      <w:r>
        <w:t>7. FHIR come modello, non come formato interno obbligatorio</w:t>
      </w:r>
    </w:p>
    <w:p>
      <w:pPr>
        <w:spacing w:after="40"/>
      </w:pPr>
      <w:r>
        <w:t>FHIR è uno standard centrale, ma non deve diventare un collo di bottiglia architetturale.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Supporto: </w:t>
      </w:r>
      <w:r>
        <w:t>R4, R4B e R5 dove richiesto; profile/Implementation Guide e validation espliciti.</w:t>
      </w:r>
    </w:p>
    <w:p>
      <w:pPr>
        <w:pStyle w:val="CompactBullet"/>
      </w:pPr>
      <w:r>
        <w:t xml:space="preserve">• </w:t>
      </w:r>
      <w:r>
        <w:rPr>
          <w:b/>
        </w:rPr>
        <w:t xml:space="preserve">Regola: </w:t>
      </w:r>
      <w:r>
        <w:t>Un HL7v2→HL7v2 o DICOM→DICOM non deve essere forzato a transitare da FHIR.</w:t>
      </w:r>
    </w:p>
    <w:p>
      <w:pPr>
        <w:pStyle w:val="CompactBullet"/>
      </w:pPr>
      <w:r>
        <w:t xml:space="preserve">• </w:t>
      </w:r>
      <w:r>
        <w:rPr>
          <w:b/>
        </w:rPr>
        <w:t xml:space="preserve">Normalizzazione: </w:t>
      </w:r>
      <w:r>
        <w:t>FHIR è una possibile rappresentazione normalizzata, non l’unica verità interna.</w:t>
      </w:r>
    </w:p>
    <w:p>
      <w:pPr>
        <w:pStyle w:val="CompactBullet"/>
      </w:pPr>
      <w:r>
        <w:t xml:space="preserve">• </w:t>
      </w:r>
      <w:r>
        <w:rPr>
          <w:b/>
        </w:rPr>
        <w:t xml:space="preserve">Evoluzione: </w:t>
      </w:r>
      <w:r>
        <w:t>Adapter/version converters isolati dal dominio HHC.</w:t>
      </w:r>
    </w:p>
    <w:p>
      <w:pPr>
        <w:pStyle w:val="Heading2"/>
        <w:keepNext/>
      </w:pPr>
      <w:r>
        <w:t>8. IHE tramite Open eHealth IPF</w:t>
      </w:r>
    </w:p>
    <w:p>
      <w:pPr>
        <w:spacing w:after="40"/>
      </w:pPr>
      <w:r>
        <w:t>Le transazioni IHE devono essere adottate tramite una libreria healthcare-specific invece di reimplementare SOAP/ebXML/FHIR profile logic.</w:t>
      </w:r>
    </w:p>
    <w:p>
      <w:pPr>
        <w:pStyle w:val="CompactBullet"/>
      </w:pPr>
      <w:r>
        <w:t xml:space="preserve">• </w:t>
      </w:r>
      <w:r>
        <w:rPr>
          <w:b/>
        </w:rPr>
        <w:t xml:space="preserve">Perimetro: </w:t>
      </w:r>
      <w:r>
        <w:t>XDS/XCA, PIX/PDQ, XCPD, MHD, PIXm/PDQm, ATNA e profili imaging supportati da IPF.</w:t>
      </w:r>
    </w:p>
    <w:p>
      <w:pPr>
        <w:pStyle w:val="CompactBullet"/>
      </w:pPr>
      <w:r>
        <w:t xml:space="preserve">• </w:t>
      </w:r>
      <w:r>
        <w:rPr>
          <w:b/>
        </w:rPr>
        <w:t xml:space="preserve">Strategia: </w:t>
      </w:r>
      <w:r>
        <w:t>Connector HHC espongono una configurazione semplice mentre IPF gestisce dettagli di protocollo e data model.</w:t>
      </w:r>
    </w:p>
    <w:p>
      <w:pPr>
        <w:pStyle w:val="CompactBullet"/>
      </w:pPr>
      <w:r>
        <w:t xml:space="preserve">• </w:t>
      </w:r>
      <w:r>
        <w:rPr>
          <w:b/>
        </w:rPr>
        <w:t xml:space="preserve">Test: </w:t>
      </w:r>
      <w:r>
        <w:t>Conformance test e profili IHE devono diventare parte della pipeline di release delle feature interessate.</w:t>
      </w:r>
    </w:p>
    <w:p>
      <w:pPr>
        <w:pStyle w:val="Heading2"/>
        <w:keepNext/>
      </w:pPr>
      <w:r>
        <w:t>9. Imaging: DICOM e DICOMweb</w:t>
      </w:r>
    </w:p>
    <w:p>
      <w:pPr>
        <w:spacing w:after="40"/>
      </w:pPr>
      <w:r>
        <w:t>HHC deve integrare l’imaging senza trasformarsi in un PACS.</w:t>
      </w:r>
    </w:p>
    <w:p>
      <w:pPr>
        <w:pStyle w:val="CompactBullet"/>
      </w:pPr>
      <w:r>
        <w:t xml:space="preserve">• </w:t>
      </w:r>
      <w:r>
        <w:rPr>
          <w:b/>
        </w:rPr>
        <w:t xml:space="preserve">Core: </w:t>
      </w:r>
      <w:r>
        <w:t>dcm4che per DIMSE/DICOM e funzioni di basso livello necessarie ai connector.</w:t>
      </w:r>
    </w:p>
    <w:p>
      <w:pPr>
        <w:pStyle w:val="CompactBullet"/>
      </w:pPr>
      <w:r>
        <w:t xml:space="preserve">• </w:t>
      </w:r>
      <w:r>
        <w:rPr>
          <w:b/>
        </w:rPr>
        <w:t xml:space="preserve">Gateway opzionale: </w:t>
      </w:r>
      <w:r>
        <w:t>Orthanc può essere supportato come sistema esterno per workflow DICOM/DICOMweb/REST.</w:t>
      </w:r>
    </w:p>
    <w:p>
      <w:pPr>
        <w:pStyle w:val="CompactBullet"/>
      </w:pPr>
      <w:r>
        <w:t xml:space="preserve">• </w:t>
      </w:r>
      <w:r>
        <w:rPr>
          <w:b/>
        </w:rPr>
        <w:t xml:space="preserve">Boundary: </w:t>
      </w:r>
      <w:r>
        <w:t>Storage diagnostico, viewer e PACS completi restano sistemi separati; HHC orchestra e osserva.</w:t>
      </w:r>
    </w:p>
    <w:p>
      <w:pPr>
        <w:pStyle w:val="CompactBullet"/>
      </w:pPr>
      <w:r>
        <w:t xml:space="preserve">• </w:t>
      </w:r>
      <w:r>
        <w:rPr>
          <w:b/>
        </w:rPr>
        <w:t xml:space="preserve">Compliance: </w:t>
      </w:r>
      <w:r>
        <w:t>TLS, AE Title, transfer syntax, grandi payload e gestione PHI richiedono test dedicati e policy storage specifiche.</w:t>
      </w:r>
    </w:p>
    <w:p>
      <w:pPr>
        <w:pStyle w:val="Heading2"/>
        <w:keepNext/>
      </w:pPr>
      <w:r>
        <w:t>10. Percorso sincrono e asincrono</w:t>
      </w:r>
    </w:p>
    <w:p>
      <w:pPr>
        <w:spacing w:after="40"/>
      </w:pPr>
      <w:r>
        <w:t>Non ogni integrazione deve passare da un event bus.</w:t>
      </w:r>
    </w:p>
    <w:p>
      <w:pPr>
        <w:pStyle w:val="CompactBullet"/>
      </w:pPr>
      <w:r>
        <w:t xml:space="preserve">• </w:t>
      </w:r>
      <w:r>
        <w:rPr>
          <w:b/>
        </w:rPr>
        <w:t xml:space="preserve">Fast path: </w:t>
      </w:r>
      <w:r>
        <w:t>MLLP/HTTP/SOAP sincroni: validazione minima, routing e ACK/response con latenza prevedibile.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Event path: </w:t>
      </w:r>
      <w:r>
        <w:t>Kafka per buffering, fan-out, decoupling, retry asincrono, replay e analytics.</w:t>
      </w:r>
    </w:p>
    <w:p>
      <w:pPr>
        <w:pStyle w:val="CompactBullet"/>
      </w:pPr>
      <w:r>
        <w:t xml:space="preserve">• </w:t>
      </w:r>
      <w:r>
        <w:rPr>
          <w:b/>
        </w:rPr>
        <w:t xml:space="preserve">Regola: </w:t>
      </w:r>
      <w:r>
        <w:t>La scelta sync/async è una proprietà del flow, non un vincolo globale della piattaforma.</w:t>
      </w:r>
    </w:p>
    <w:p>
      <w:pPr>
        <w:pStyle w:val="CompactBullet"/>
      </w:pPr>
      <w:r>
        <w:t xml:space="preserve">• </w:t>
      </w:r>
      <w:r>
        <w:rPr>
          <w:b/>
        </w:rPr>
        <w:t xml:space="preserve">Affidabilità: </w:t>
      </w:r>
      <w:r>
        <w:t>Idempotenza, ordering dove necessario, DLQ e deduplica devono essere espliciti.</w:t>
      </w:r>
    </w:p>
    <w:p>
      <w:pPr>
        <w:pStyle w:val="Heading2"/>
        <w:keepNext/>
      </w:pPr>
      <w:r>
        <w:t>11. Schema e Contract Registry</w:t>
      </w:r>
    </w:p>
    <w:p>
      <w:pPr>
        <w:spacing w:after="40"/>
      </w:pPr>
      <w:r>
        <w:t>I contratti di integrazione devono essere versionati come asset di prima classe.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Registry: </w:t>
      </w:r>
      <w:r>
        <w:t>Apicurio Registry per schema/event/API artifacts e controlli di validità/compatibilità.</w:t>
      </w:r>
    </w:p>
    <w:p>
      <w:pPr>
        <w:pStyle w:val="CompactBullet"/>
      </w:pPr>
      <w:r>
        <w:t xml:space="preserve">• </w:t>
      </w:r>
      <w:r>
        <w:rPr>
          <w:b/>
        </w:rPr>
        <w:t xml:space="preserve">Asset: </w:t>
      </w:r>
      <w:r>
        <w:t>OpenAPI, AsyncAPI, JSON Schema, Avro/Protobuf, XSD/WSDL e altri contratti pertinenti.</w:t>
      </w:r>
    </w:p>
    <w:p>
      <w:pPr>
        <w:pStyle w:val="CompactBullet"/>
      </w:pPr>
      <w:r>
        <w:t xml:space="preserve">• </w:t>
      </w:r>
      <w:r>
        <w:rPr>
          <w:b/>
        </w:rPr>
        <w:t xml:space="preserve">HHC metadata: </w:t>
      </w:r>
      <w:r>
        <w:t>Ogni deployment deve conoscere esattamente mapping e contract version usati.</w:t>
      </w:r>
    </w:p>
    <w:p>
      <w:pPr>
        <w:pStyle w:val="CompactBullet"/>
      </w:pPr>
      <w:r>
        <w:t xml:space="preserve">• </w:t>
      </w:r>
      <w:r>
        <w:rPr>
          <w:b/>
        </w:rPr>
        <w:t xml:space="preserve">Governance: </w:t>
      </w:r>
      <w:r>
        <w:t>Stati draft/approved/deprecated e policy di compatibilità integrate nel lifecycle HHC.</w:t>
      </w:r>
    </w:p>
    <w:p>
      <w:pPr>
        <w:pStyle w:val="Heading2"/>
        <w:keepNext/>
      </w:pPr>
      <w:r>
        <w:t>12. Strategia di storage</w:t>
      </w:r>
    </w:p>
    <w:p>
      <w:pPr>
        <w:spacing w:after="40"/>
      </w:pPr>
      <w:r>
        <w:t>Separare i dati per caratteristiche di accesso, dimensione e retention.</w:t>
      </w:r>
    </w:p>
    <w:p>
      <w:pPr>
        <w:pStyle w:val="CompactBullet"/>
      </w:pPr>
      <w:r>
        <w:t xml:space="preserve">• </w:t>
      </w:r>
      <w:r>
        <w:rPr>
          <w:b/>
        </w:rPr>
        <w:t xml:space="preserve">PostgreSQL: </w:t>
      </w:r>
      <w:r>
        <w:t>Configurazioni, tenant, deployment, metadata, audit index e stato operativo.</w:t>
      </w:r>
    </w:p>
    <w:p>
      <w:pPr>
        <w:pStyle w:val="CompactBullet"/>
      </w:pPr>
      <w:r>
        <w:t xml:space="preserve">• </w:t>
      </w:r>
      <w:r>
        <w:rPr>
          <w:b/>
        </w:rPr>
        <w:t xml:space="preserve">Object storage: </w:t>
      </w:r>
      <w:r>
        <w:t>Payload raw e documenti/grandi oggetti; cifratura, retention e lifecycle configurabili.</w:t>
      </w:r>
    </w:p>
    <w:p>
      <w:pPr>
        <w:pStyle w:val="CompactBullet"/>
      </w:pPr>
      <w:r>
        <w:t xml:space="preserve">• </w:t>
      </w:r>
      <w:r>
        <w:rPr>
          <w:b/>
        </w:rPr>
        <w:t xml:space="preserve">Kafka: </w:t>
      </w:r>
      <w:r>
        <w:t>Eventi e replay entro la retention prevista; non archivio clinico permanente.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Search/telemetry: </w:t>
      </w:r>
      <w:r>
        <w:t>Indici tecnici dedicati e minimizzazione PHI; nessuna duplicazione indiscriminata dei payload nei log.</w:t>
      </w:r>
    </w:p>
    <w:p>
      <w:pPr>
        <w:pStyle w:val="Heading2"/>
        <w:keepNext/>
      </w:pPr>
      <w:r>
        <w:t>13. Security by design</w:t>
      </w:r>
    </w:p>
    <w:p>
      <w:pPr>
        <w:spacing w:after="40"/>
      </w:pPr>
      <w:r>
        <w:t>L’identità e la segregazione devono essere parte del modello, non un’aggiunta finale.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Identity: </w:t>
      </w:r>
      <w:r>
        <w:t>Keycloak come baseline per OIDC/OAuth2, SAML, identity brokering/federation e service accounts.</w:t>
      </w:r>
    </w:p>
    <w:p>
      <w:pPr>
        <w:pStyle w:val="CompactBullet"/>
      </w:pPr>
      <w:r>
        <w:t xml:space="preserve">• </w:t>
      </w:r>
      <w:r>
        <w:rPr>
          <w:b/>
        </w:rPr>
        <w:t xml:space="preserve">Modello: </w:t>
      </w:r>
      <w:r>
        <w:t>Tenant → Organization → Facility → Application → Endpoint con RBAC/ABAC progressivo.</w:t>
      </w:r>
    </w:p>
    <w:p>
      <w:pPr>
        <w:pStyle w:val="CompactBullet"/>
      </w:pPr>
      <w:r>
        <w:t xml:space="preserve">• </w:t>
      </w:r>
      <w:r>
        <w:rPr>
          <w:b/>
        </w:rPr>
        <w:t xml:space="preserve">Machine security: </w:t>
      </w:r>
      <w:r>
        <w:t>mTLS, certificati, secret rotation, vault integration e scope minimi.</w:t>
      </w:r>
    </w:p>
    <w:p>
      <w:pPr>
        <w:pStyle w:val="CompactBullet"/>
      </w:pPr>
      <w:r>
        <w:t xml:space="preserve">• </w:t>
      </w:r>
      <w:r>
        <w:rPr>
          <w:b/>
        </w:rPr>
        <w:t xml:space="preserve">Privacy: </w:t>
      </w:r>
      <w:r>
        <w:t>PHI redaction nei log, encryption at rest/in transit, audit accessi e policy di retention.</w:t>
      </w:r>
    </w:p>
    <w:p>
      <w:pPr>
        <w:pStyle w:val="Heading2"/>
        <w:keepNext/>
      </w:pPr>
      <w:r>
        <w:t>14. Observability by design</w:t>
      </w:r>
    </w:p>
    <w:p>
      <w:pPr>
        <w:spacing w:after="40"/>
      </w:pPr>
      <w:r>
        <w:t>La capacità di capire cosa è successo a un messaggio è una feature primaria del prodotto.</w:t>
      </w:r>
    </w:p>
    <w:p>
      <w:pPr>
        <w:pStyle w:val="CompactBullet"/>
      </w:pPr>
      <w:r>
        <w:t xml:space="preserve">• </w:t>
      </w:r>
      <w:r>
        <w:rPr>
          <w:b/>
        </w:rPr>
        <w:t xml:space="preserve">Standard: </w:t>
      </w:r>
      <w:r>
        <w:t>OpenTelemetry per traces, metrics e logs.</w:t>
      </w:r>
    </w:p>
    <w:p>
      <w:pPr>
        <w:pStyle w:val="CompactBullet"/>
      </w:pPr>
      <w:r>
        <w:t xml:space="preserve">• </w:t>
      </w:r>
      <w:r>
        <w:rPr>
          <w:b/>
        </w:rPr>
        <w:t xml:space="preserve">Correlazione: </w:t>
      </w:r>
      <w:r>
        <w:t>traceId/correlationId propagati tra connector, mapping, chiamate esterne ed event bus.</w:t>
      </w:r>
    </w:p>
    <w:p>
      <w:pPr>
        <w:pStyle w:val="CompactBullet"/>
      </w:pPr>
      <w:r>
        <w:t xml:space="preserve">• </w:t>
      </w:r>
      <w:r>
        <w:rPr>
          <w:b/>
        </w:rPr>
        <w:t xml:space="preserve">UI: </w:t>
      </w:r>
      <w:r>
        <w:t>Timeline per messaggio con latenza per step, errori, retry, versione flow/mapping e destinazioni.</w:t>
      </w:r>
    </w:p>
    <w:p>
      <w:pPr>
        <w:pStyle w:val="CompactBullet"/>
      </w:pPr>
      <w:r>
        <w:t xml:space="preserve">• </w:t>
      </w:r>
      <w:r>
        <w:rPr>
          <w:b/>
        </w:rPr>
        <w:t xml:space="preserve">SLO: </w:t>
      </w:r>
      <w:r>
        <w:t>Metriche per throughput, failure rate, latency percentile, queue lag e delivery success.</w:t>
      </w:r>
    </w:p>
    <w:p>
      <w:pPr>
        <w:pStyle w:val="Heading2"/>
        <w:keepNext/>
      </w:pPr>
      <w:r>
        <w:t>15. UI visuale e Configuration as Code</w:t>
      </w:r>
    </w:p>
    <w:p>
      <w:pPr>
        <w:spacing w:after="40"/>
      </w:pPr>
      <w:r>
        <w:t>L’interfaccia deve semplificare l’integrazione senza creare configurazioni opache.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Designer: </w:t>
      </w:r>
      <w:r>
        <w:t>Flow graph con source, step, filter, mapping, route e destination.</w:t>
      </w:r>
    </w:p>
    <w:p>
      <w:pPr>
        <w:pStyle w:val="CompactBullet"/>
      </w:pPr>
      <w:r>
        <w:t xml:space="preserve">• </w:t>
      </w:r>
      <w:r>
        <w:rPr>
          <w:b/>
        </w:rPr>
        <w:t xml:space="preserve">Source of truth: </w:t>
      </w:r>
      <w:r>
        <w:t>Definizioni dichiarative YAML/JSON versionabili in Git e validabili da schema.</w:t>
      </w:r>
    </w:p>
    <w:p>
      <w:pPr>
        <w:pStyle w:val="CompactBullet"/>
      </w:pPr>
      <w:r>
        <w:t xml:space="preserve">• </w:t>
      </w:r>
      <w:r>
        <w:rPr>
          <w:b/>
        </w:rPr>
        <w:t xml:space="preserve">Lifecycle: </w:t>
      </w:r>
      <w:r>
        <w:t>Diff, review, test, promote, deploy, rollback e audit della modifica.</w:t>
      </w:r>
    </w:p>
    <w:p>
      <w:pPr>
        <w:pStyle w:val="CompactBullet"/>
      </w:pPr>
      <w:r>
        <w:t xml:space="preserve">• </w:t>
      </w:r>
      <w:r>
        <w:rPr>
          <w:b/>
        </w:rPr>
        <w:t xml:space="preserve">Debug: </w:t>
      </w:r>
      <w:r>
        <w:t>Input/output per step solo con autorizzazioni adeguate e masking configurabile.</w:t>
      </w:r>
    </w:p>
    <w:p>
      <w:pPr>
        <w:pStyle w:val="Heading2"/>
        <w:keepNext/>
      </w:pPr>
      <w:r>
        <w:t>16. Cosa sviluppare internamente</w:t>
      </w:r>
    </w:p>
    <w:p>
      <w:pPr>
        <w:spacing w:after="40"/>
      </w:pPr>
      <w:r>
        <w:t>Il vantaggio competitivo deve stare nell’esperienza, nel modello operativo e nella governance.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Da sviluppare: </w:t>
      </w:r>
      <w:r>
        <w:t>HHC Connector SDK, Integration Envelope, Control Plane, Registry, flow designer, mapping layer, deployment/rollback, message explorer, replay, tenancy, audit, testing e migration tools.</w:t>
      </w:r>
    </w:p>
    <w:p>
      <w:pPr>
        <w:pStyle w:val="CompactBullet"/>
      </w:pPr>
      <w:r>
        <w:t xml:space="preserve">• </w:t>
      </w:r>
      <w:r>
        <w:rPr>
          <w:b/>
        </w:rPr>
        <w:t xml:space="preserve">Da riusare: </w:t>
      </w:r>
      <w:r>
        <w:t>Parser/protocolli, FHIR engine, IHE plumbing, DICOM toolkit, identity provider, event broker e telemetry standard.</w:t>
      </w:r>
    </w:p>
    <w:p>
      <w:pPr>
        <w:pStyle w:val="CompactBullet"/>
      </w:pPr>
      <w:r>
        <w:t xml:space="preserve">• </w:t>
      </w:r>
      <w:r>
        <w:rPr>
          <w:b/>
        </w:rPr>
        <w:t xml:space="preserve">Criterio: </w:t>
      </w:r>
      <w:r>
        <w:t>Build solo quando il componente costituisce differenziazione o quando una dipendenza esterna non soddisfa requisiti tecnici/licensing.</w:t>
      </w:r>
    </w:p>
    <w:p>
      <w:pPr>
        <w:pStyle w:val="Heading2"/>
        <w:keepNext/>
      </w:pPr>
      <w:r>
        <w:t>17. Stack baseline e principio di sostituibilità</w:t>
      </w:r>
    </w:p>
    <w:p>
      <w:pPr>
        <w:spacing w:after="40"/>
      </w:pPr>
      <w:r>
        <w:t>La baseline deve essere coerente ma non creare lock-in interno.</w:t>
      </w:r>
    </w:p>
    <w:p>
      <w:pPr>
        <w:pStyle w:val="CompactBullet"/>
      </w:pPr>
      <w:r>
        <w:t xml:space="preserve">• </w:t>
      </w:r>
      <w:r>
        <w:rPr>
          <w:b/>
        </w:rPr>
        <w:t xml:space="preserve">Application: </w:t>
      </w:r>
      <w:r>
        <w:t>Java LTS, Spring Boot, Apache Camel, IPF, HAPI FHIR, HAPI HL7v2, dcm4che.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Infrastructure: </w:t>
      </w:r>
      <w:r>
        <w:t>PostgreSQL, Kafka, Apicurio Registry, storage S3-compatible, Keycloak, OpenTelemetry.</w:t>
      </w:r>
    </w:p>
    <w:p>
      <w:pPr>
        <w:pStyle w:val="CompactBullet"/>
      </w:pPr>
      <w:r>
        <w:t xml:space="preserve">• </w:t>
      </w:r>
      <w:r>
        <w:rPr>
          <w:b/>
        </w:rPr>
        <w:t xml:space="preserve">Frontend: </w:t>
      </w:r>
      <w:r>
        <w:t>React + TypeScript; API-first tra UI e Control Plane.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Packaging: </w:t>
      </w:r>
      <w:r>
        <w:t>Docker come minimo comune; Docker Compose per installazioni semplici; Kubernetes supportato per topologie enterprise.</w:t>
      </w:r>
    </w:p>
    <w:p>
      <w:pPr>
        <w:pStyle w:val="CompactBullet"/>
      </w:pPr>
      <w:r>
        <w:t xml:space="preserve">• </w:t>
      </w:r>
      <w:r>
        <w:rPr>
          <w:b/>
        </w:rPr>
        <w:t xml:space="preserve">Versioni: </w:t>
      </w:r>
      <w:r>
        <w:t>Le versioni concrete vengono pin-nate a ogni release HHC dopo test di compatibilità, sicurezza e prestazioni; evitare riferimenti hard-coded a una versione nel modello dominio.</w:t>
      </w:r>
    </w:p>
    <w:p>
      <w:pPr>
        <w:pStyle w:val="Heading1"/>
      </w:pPr>
      <w:r>
        <w:t>Roadmap in 4 fasi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6EF"/>
            <w:tcBorders>
              <w:top w:val="single" w:sz="6" w:color="B8C7D1"/>
              <w:left w:val="single" w:sz="6" w:color="B8C7D1"/>
              <w:bottom w:val="single" w:sz="6" w:color="B8C7D1"/>
              <w:right w:val="single" w:sz="6" w:color="B8C7D1"/>
              <w:insideH w:val="single" w:sz="6" w:color="B8C7D1"/>
              <w:insideV w:val="single" w:sz="6" w:color="B8C7D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24D"/>
              </w:rPr>
              <w:t xml:space="preserve">Regola di maturità. </w:t>
            </w:r>
            <w:r>
              <w:t>Fase 1 = MVP tecnico. Fase 2 = MVP production/pilot-ready. Le fasi 3 e 4 non sono più MVP: introducono copertura sanitaria estesa, hardening enterprise e completezza di piattaforma. La fase 4 chiude il percorso con un prodotto maturo.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  <w:cantSplit/>
        </w:trPr>
        <w:tc>
          <w:tcPr>
            <w:tcW w:type="dxa" w:w="504"/>
            <w:shd w:fill="17324D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944"/>
            <w:shd w:fill="17324D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1181"/>
            <w:shd w:fill="17324D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Stato</w:t>
            </w:r>
          </w:p>
        </w:tc>
        <w:tc>
          <w:tcPr>
            <w:tcW w:type="dxa" w:w="1512"/>
            <w:shd w:fill="17324D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Obiettivo</w:t>
            </w:r>
          </w:p>
        </w:tc>
        <w:tc>
          <w:tcPr>
            <w:tcW w:type="dxa" w:w="2880"/>
            <w:shd w:fill="17324D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Scope essenziale</w:t>
            </w:r>
          </w:p>
        </w:tc>
        <w:tc>
          <w:tcPr>
            <w:tcW w:type="dxa" w:w="2232"/>
            <w:shd w:fill="17324D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b/>
                <w:sz w:val="15"/>
              </w:rPr>
              <w:t>1</w:t>
            </w:r>
          </w:p>
        </w:tc>
        <w:tc>
          <w:tcPr>
            <w:tcW w:type="dxa" w:w="1944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b/>
                <w:sz w:val="15"/>
              </w:rPr>
              <w:t>Foundation — Technical MVP</w:t>
            </w:r>
          </w:p>
        </w:tc>
        <w:tc>
          <w:tcPr>
            <w:tcW w:type="dxa" w:w="1181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FF2CC"/>
          </w:tcPr>
          <w:p>
            <w:r>
              <w:rPr>
                <w:b/>
                <w:sz w:val="15"/>
              </w:rPr>
              <w:t>MVP tecnico</w:t>
            </w:r>
          </w:p>
        </w:tc>
        <w:tc>
          <w:tcPr>
            <w:tcW w:type="dxa" w:w="1512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Dimostrare il modello HHC end-to-end con pochi protocolli ma architettura corretta.</w:t>
            </w:r>
          </w:p>
        </w:tc>
        <w:tc>
          <w:tcPr>
            <w:tcW w:type="dxa" w:w="288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HHC Connector SDK; Integration Envelope; HL7v2/MLLP; REST; FHIR client; flow dichiarativi; PostgreSQL; object storage; UI essenziale; message explorer; manual replay; Docker Compose; test automatici core.</w:t>
            </w:r>
          </w:p>
        </w:tc>
        <w:tc>
          <w:tcPr>
            <w:tcW w:type="dxa" w:w="2232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Un flusso HL7v2→FHIR e uno HL7v2/REST possono essere configurati, testati, eseguiti e tracciati; raw payload preservato; errori recuperabili; configurazione versionabile.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b/>
                <w:sz w:val="15"/>
              </w:rPr>
              <w:t>2</w:t>
            </w:r>
          </w:p>
        </w:tc>
        <w:tc>
          <w:tcPr>
            <w:tcW w:type="dxa" w:w="1944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b/>
                <w:sz w:val="15"/>
              </w:rPr>
              <w:t>Production Core — Pilot MVP</w:t>
            </w:r>
          </w:p>
        </w:tc>
        <w:tc>
          <w:tcPr>
            <w:tcW w:type="dxa" w:w="1181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FFF2CC"/>
          </w:tcPr>
          <w:p>
            <w:r>
              <w:rPr>
                <w:b/>
                <w:sz w:val="15"/>
              </w:rPr>
              <w:t>Ultima fase MVP</w:t>
            </w:r>
          </w:p>
        </w:tc>
        <w:tc>
          <w:tcPr>
            <w:tcW w:type="dxa" w:w="1512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Portare il core a un pilot reale con resilienza, sicurezza e operatività multi-worker.</w:t>
            </w:r>
          </w:p>
        </w:tc>
        <w:tc>
          <w:tcPr>
            <w:tcW w:type="dxa" w:w="288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Kafka/event path; DLQ/retry/idempotenza; multi-worker; deploy/rollback; mapping registry/editor; Apicurio; Keycloak/RBAC; certificate/secrets; OpenTelemetry; dashboard/SLO; HA di base; CI/CD; backup/restore; performance test; upgrade procedure.</w:t>
            </w:r>
          </w:p>
        </w:tc>
        <w:tc>
          <w:tcPr>
            <w:tcW w:type="dxa" w:w="2232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Pilot sanitario controllato: nessun single point of failure critico nel data plane previsto dalla topologia; audit e tracing completi; restore testato; deployment ripetibile; metriche/SLO disponibili.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b/>
                <w:sz w:val="15"/>
              </w:rPr>
              <w:t>3</w:t>
            </w:r>
          </w:p>
        </w:tc>
        <w:tc>
          <w:tcPr>
            <w:tcW w:type="dxa" w:w="1944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b/>
                <w:sz w:val="15"/>
              </w:rPr>
              <w:t>Healthcare Interoperability Suite</w:t>
            </w:r>
          </w:p>
        </w:tc>
        <w:tc>
          <w:tcPr>
            <w:tcW w:type="dxa" w:w="1181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b/>
                <w:sz w:val="15"/>
              </w:rPr>
              <w:t>Prodotto esteso</w:t>
            </w:r>
          </w:p>
        </w:tc>
        <w:tc>
          <w:tcPr>
            <w:tcW w:type="dxa" w:w="1512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Aggiungere le capability sanitarie avanzate e standard di interoperabilità documentale/identità.</w:t>
            </w:r>
          </w:p>
        </w:tc>
        <w:tc>
          <w:tcPr>
            <w:tcW w:type="dxa" w:w="288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CDA; IPF; XDS/XCA; PIX/PDQ/XCPD; MHD/PIXm/PDQm; ATNA; FHIR profiles/IG validation; terminology integration; MPI/MDM integration strategy; SOAP/XSD/WSDL tooling; richer mapping/testing; migration tools iniziali.</w:t>
            </w:r>
          </w:p>
        </w:tc>
        <w:tc>
          <w:tcPr>
            <w:tcW w:type="dxa" w:w="2232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Copertura dei principali workflow documentali e patient identity; conformance test automatizzati; pacchetti di integrazione riutilizzabili; gestione completa delle versioni dei contratti.</w:t>
            </w:r>
          </w:p>
        </w:tc>
      </w:tr>
      <w:tr>
        <w:trPr>
          <w:cantSplit/>
        </w:trPr>
        <w:tc>
          <w:tcPr>
            <w:tcW w:type="dxa" w:w="504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b/>
                <w:sz w:val="15"/>
              </w:rPr>
              <w:t>4</w:t>
            </w:r>
          </w:p>
        </w:tc>
        <w:tc>
          <w:tcPr>
            <w:tcW w:type="dxa" w:w="1944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b/>
                <w:sz w:val="15"/>
              </w:rPr>
              <w:t>Enterprise &amp; Imaging Maturity</w:t>
            </w:r>
          </w:p>
        </w:tc>
        <w:tc>
          <w:tcPr>
            <w:tcW w:type="dxa" w:w="1181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E2F0D9"/>
          </w:tcPr>
          <w:p>
            <w:r>
              <w:rPr>
                <w:b/>
                <w:sz w:val="15"/>
              </w:rPr>
              <w:t>Prodotto completo e maturo</w:t>
            </w:r>
          </w:p>
        </w:tc>
        <w:tc>
          <w:tcPr>
            <w:tcW w:type="dxa" w:w="1512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Completare imaging, governance enterprise, operabilità e qualità di prodotto.</w:t>
            </w:r>
          </w:p>
        </w:tc>
        <w:tc>
          <w:tcPr>
            <w:tcW w:type="dxa" w:w="2880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DICOM/DICOMweb; dcm4che connector suite; Orthanc integration; HA/DR avanzati; Kubernetes production patterns; multi-site; capacity management; zero/low-downtime upgrades; advanced tenancy/policies; full audit/compliance tooling; SDK ecosystem; migration toolkit; certification/conformance program; load/chaos/security testing; documentazione operativa completa.</w:t>
            </w:r>
          </w:p>
        </w:tc>
        <w:tc>
          <w:tcPr>
            <w:tcW w:type="dxa" w:w="2232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r>
              <w:rPr>
                <w:sz w:val="15"/>
              </w:rPr>
              <w:t>Release enterprise: installabile in topologie piccole e grandi; DR e upgrade provati; performance/SLA misurabili; copertura interoperabilità definita; hardening sicurezza; runbook, supportability e lifecycle di lungo periodo.</w:t>
            </w:r>
          </w:p>
        </w:tc>
      </w:tr>
    </w:tbl>
    <w:p>
      <w:pPr>
        <w:pStyle w:val="Heading1"/>
      </w:pPr>
      <w:r>
        <w:t>Requisiti trasversali non rinviabili</w:t>
      </w:r>
    </w:p>
    <w:p>
      <w:pPr>
        <w:pStyle w:val="CompactBullet"/>
      </w:pPr>
      <w:r>
        <w:t xml:space="preserve">• </w:t>
      </w:r>
      <w:r>
        <w:t>Testabilità: ogni connector e flow deve avere test unitari/contract/integration; payload sintetici e dataset di test non devono contenere PHI reale.</w:t>
      </w:r>
    </w:p>
    <w:p>
      <w:pPr>
        <w:pStyle w:val="CompactBullet"/>
      </w:pPr>
      <w:r>
        <w:t xml:space="preserve">• </w:t>
      </w:r>
      <w:r>
        <w:t>Backward compatibility: flow, mapping, schema e Connector SDK sono versionati; gli upgrade devono dichiarare breaking changes e procedure di migrazione.</w:t>
      </w:r>
    </w:p>
    <w:p>
      <w:pPr>
        <w:pStyle w:val="CompactBullet"/>
      </w:pPr>
      <w:r>
        <w:t xml:space="preserve">• </w:t>
      </w:r>
      <w:r>
        <w:t>Security/privacy: minimizzazione dati, encryption, secret hygiene e audit entrano dalla fase 1 e vengono rafforzati, non “aggiunti” in fase 4.</w:t>
      </w:r>
    </w:p>
    <w:p>
      <w:pPr>
        <w:pStyle w:val="CompactBullet"/>
      </w:pPr>
      <w:r>
        <w:t xml:space="preserve">• </w:t>
      </w:r>
      <w:r>
        <w:t>Operabilità: health, metriche e correlation ID sono parte del runtime fin dal primo MVP; la profondità delle dashboard cresce nelle fasi successive.</w:t>
      </w:r>
    </w:p>
    <w:p>
      <w:pPr>
        <w:pStyle w:val="CompactBullet"/>
      </w:pPr>
      <w:r>
        <w:t xml:space="preserve">• </w:t>
      </w:r>
      <w:r>
        <w:t>Portabilità: il prodotto deve funzionare senza Kubernetes; Kubernetes è una modalità di deployment enterprise, non un requisito per l’adozione.</w:t>
      </w:r>
    </w:p>
    <w:p>
      <w:pPr>
        <w:pStyle w:val="CompactBullet"/>
      </w:pPr>
      <w:r>
        <w:t xml:space="preserve">• </w:t>
      </w:r>
      <w:r>
        <w:t>Licensing &amp; supply chain: SBOM, vulnerability scanning, verifica licenze e policy dipendenze fanno parte della release engineering.</w:t>
      </w:r>
    </w:p>
    <w:p>
      <w:pPr>
        <w:pStyle w:val="CompactBullet"/>
      </w:pPr>
      <w:r>
        <w:t xml:space="preserve">• </w:t>
      </w:r>
      <w:r>
        <w:t>No hidden state: configurazioni e contratti devono essere esportabili, diffabili e ricostruibili; il database non è l’unica copia della configurazione logica.</w:t>
      </w:r>
    </w:p>
    <w:p>
      <w:pPr>
        <w:pStyle w:val="Heading1"/>
      </w:pPr>
      <w:r>
        <w:t>Confini del prodotto</w:t>
      </w:r>
    </w:p>
    <w:p>
      <w:pPr>
        <w:pStyle w:val="CompactBullet"/>
      </w:pPr>
      <w:r>
        <w:t xml:space="preserve">• </w:t>
      </w:r>
      <w:r>
        <w:t>HyperHealth Connect non è un EHR/HIS, un repository clinico universale o un PACS completo.</w:t>
      </w:r>
    </w:p>
    <w:p>
      <w:pPr>
        <w:pStyle w:val="CompactBullet"/>
      </w:pPr>
      <w:r>
        <w:t xml:space="preserve">• </w:t>
      </w:r>
      <w:r>
        <w:t>Non sostituisce automaticamente MPI, terminology server, document repository o identity provider: li integra e, dove utile, può offrire moduli opzionali.</w:t>
      </w:r>
    </w:p>
    <w:p>
      <w:pPr>
        <w:pStyle w:val="CompactBullet"/>
      </w:pPr>
      <w:r>
        <w:t xml:space="preserve">• </w:t>
      </w:r>
      <w:r>
        <w:t>Non impone FHIR come formato interno universale e non impone Kafka a ogni flusso.</w:t>
      </w:r>
    </w:p>
    <w:p>
      <w:pPr>
        <w:pStyle w:val="CompactBullet"/>
      </w:pPr>
      <w:r>
        <w:t xml:space="preserve">• </w:t>
      </w:r>
      <w:r>
        <w:t>Non promette compatibilità con ogni implementazione vendor-specific senza profili, test e adapter espliciti.</w:t>
      </w:r>
    </w:p>
    <w:p>
      <w:pPr>
        <w:pStyle w:val="Heading1"/>
      </w:pPr>
      <w:r>
        <w:t>Struttura logica iniziale del repository</w:t>
      </w:r>
    </w:p>
    <w:p>
      <w:r>
        <w:rPr>
          <w:rFonts w:ascii="Aptos Mono" w:hAnsi="Aptos Mono"/>
          <w:b/>
          <w:sz w:val="18"/>
        </w:rPr>
        <w:t>hyperhealth-connect/</w:t>
      </w:r>
    </w:p>
    <w:p>
      <w:pPr>
        <w:pStyle w:val="CompactBullet"/>
      </w:pPr>
      <w:r>
        <w:rPr>
          <w:rFonts w:ascii="Aptos Mono" w:hAnsi="Aptos Mono"/>
          <w:sz w:val="17"/>
        </w:rPr>
        <w:t xml:space="preserve">  control-plane/        API, dominio, registry, deployment, audit</w:t>
      </w:r>
    </w:p>
    <w:p>
      <w:pPr>
        <w:pStyle w:val="CompactBullet"/>
      </w:pPr>
      <w:r>
        <w:rPr>
          <w:rFonts w:ascii="Aptos Mono" w:hAnsi="Aptos Mono"/>
          <w:sz w:val="17"/>
        </w:rPr>
        <w:t xml:space="preserve">  runtime/              worker e flow execution</w:t>
      </w:r>
    </w:p>
    <w:p>
      <w:pPr>
        <w:pStyle w:val="CompactBullet"/>
      </w:pPr>
      <w:r>
        <w:rPr>
          <w:rFonts w:ascii="Aptos Mono" w:hAnsi="Aptos Mono"/>
          <w:sz w:val="17"/>
        </w:rPr>
        <w:t xml:space="preserve">  connector-sdk/        SPI/API pubbliche dei connector</w:t>
      </w:r>
    </w:p>
    <w:p>
      <w:pPr>
        <w:pStyle w:val="CompactBullet"/>
      </w:pPr>
      <w:r>
        <w:rPr>
          <w:rFonts w:ascii="Aptos Mono" w:hAnsi="Aptos Mono"/>
          <w:sz w:val="17"/>
        </w:rPr>
        <w:t xml:space="preserve">  integration-envelope/ modello HHC del messaggio</w:t>
      </w:r>
    </w:p>
    <w:p>
      <w:pPr>
        <w:pStyle w:val="CompactBullet"/>
      </w:pPr>
      <w:r>
        <w:rPr>
          <w:rFonts w:ascii="Aptos Mono" w:hAnsi="Aptos Mono"/>
          <w:sz w:val="17"/>
        </w:rPr>
        <w:t xml:space="preserve">  connectors/           hl7v2, fhir, rest, database, file, kafka, ihe, dicom...</w:t>
      </w:r>
    </w:p>
    <w:p>
      <w:pPr>
        <w:pStyle w:val="CompactBullet"/>
      </w:pPr>
      <w:r>
        <w:rPr>
          <w:rFonts w:ascii="Aptos Mono" w:hAnsi="Aptos Mono"/>
          <w:sz w:val="17"/>
        </w:rPr>
        <w:t xml:space="preserve">  mapping/              trasformazioni, registry e test</w:t>
      </w:r>
    </w:p>
    <w:p>
      <w:pPr>
        <w:pStyle w:val="CompactBullet"/>
      </w:pPr>
      <w:r>
        <w:rPr>
          <w:rFonts w:ascii="Aptos Mono" w:hAnsi="Aptos Mono"/>
          <w:sz w:val="17"/>
        </w:rPr>
        <w:t xml:space="preserve">  observability/        telemetry conventions e instrumentation</w:t>
      </w:r>
    </w:p>
    <w:p>
      <w:pPr>
        <w:pStyle w:val="CompactBullet"/>
      </w:pPr>
      <w:r>
        <w:rPr>
          <w:rFonts w:ascii="Aptos Mono" w:hAnsi="Aptos Mono"/>
          <w:sz w:val="17"/>
        </w:rPr>
        <w:t xml:space="preserve">  security/             authorization model, masking, secrets abstractions</w:t>
      </w:r>
    </w:p>
    <w:p>
      <w:pPr>
        <w:pStyle w:val="CompactBullet"/>
      </w:pPr>
      <w:r>
        <w:rPr>
          <w:rFonts w:ascii="Aptos Mono" w:hAnsi="Aptos Mono"/>
          <w:sz w:val="17"/>
        </w:rPr>
        <w:t xml:space="preserve">  ui/                   React/TypeScript control plane UI</w:t>
      </w:r>
    </w:p>
    <w:p>
      <w:pPr>
        <w:pStyle w:val="CompactBullet"/>
      </w:pPr>
      <w:r>
        <w:rPr>
          <w:rFonts w:ascii="Aptos Mono" w:hAnsi="Aptos Mono"/>
          <w:sz w:val="17"/>
        </w:rPr>
        <w:t xml:space="preserve">  deploy/               compose, Kubernetes manifests/charts in fase successiva</w:t>
      </w:r>
    </w:p>
    <w:p>
      <w:pPr>
        <w:pStyle w:val="CompactBullet"/>
      </w:pPr>
      <w:r>
        <w:rPr>
          <w:rFonts w:ascii="Aptos Mono" w:hAnsi="Aptos Mono"/>
          <w:sz w:val="17"/>
        </w:rPr>
        <w:t xml:space="preserve">  docs/                 ADR, architecture, connector specs, runbooks</w:t>
      </w:r>
    </w:p>
    <w:p>
      <w:pPr>
        <w:pStyle w:val="Heading1"/>
      </w:pPr>
      <w:r>
        <w:t>ADR da fissare prima dello sviluppo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17324D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ADR</w:t>
            </w:r>
          </w:p>
        </w:tc>
        <w:tc>
          <w:tcPr>
            <w:tcW w:type="dxa" w:w="5083"/>
            <w:shd w:fill="17324D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Decisione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b/>
              </w:rPr>
              <w:t>ADR-001</w:t>
            </w:r>
          </w:p>
        </w:tc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Control Plane / Data Plane separation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b/>
              </w:rPr>
              <w:t>ADR-002</w:t>
            </w:r>
          </w:p>
        </w:tc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Modular monolith + independent runtime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b/>
              </w:rPr>
              <w:t>ADR-003</w:t>
            </w:r>
          </w:p>
        </w:tc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HHC Connector SDK as dependency boundary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b/>
              </w:rPr>
              <w:t>ADR-004</w:t>
            </w:r>
          </w:p>
        </w:tc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Immutable raw payload + HHC Integration Envelope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b/>
              </w:rPr>
              <w:t>ADR-005</w:t>
            </w:r>
          </w:p>
        </w:tc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FHIR optional normalization, not universal internal model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b/>
              </w:rPr>
              <w:t>ADR-006</w:t>
            </w:r>
          </w:p>
        </w:tc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Sync and async dual-path architecture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b/>
              </w:rPr>
              <w:t>ADR-007</w:t>
            </w:r>
          </w:p>
        </w:tc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Configuration as Code as logical source of truth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b/>
              </w:rPr>
              <w:t>ADR-008</w:t>
            </w:r>
          </w:p>
        </w:tc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Storage separation and PHI logging policy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b/>
              </w:rPr>
              <w:t>ADR-009</w:t>
            </w:r>
          </w:p>
        </w:tc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Identity/tenancy model</w:t>
            </w:r>
          </w:p>
        </w:tc>
      </w:tr>
      <w:tr>
        <w:trPr>
          <w:cantSplit/>
        </w:trPr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rPr>
                <w:b/>
              </w:rPr>
              <w:t>ADR-010</w:t>
            </w:r>
          </w:p>
        </w:tc>
        <w:tc>
          <w:tcPr>
            <w:tcW w:type="dxa" w:w="5083"/>
            <w:tcBorders>
              <w:top w:val="single" w:sz="6" w:color="CCD6DD"/>
              <w:left w:val="single" w:sz="6" w:color="CCD6DD"/>
              <w:bottom w:val="single" w:sz="6" w:color="CCD6DD"/>
              <w:right w:val="single" w:sz="6" w:color="CCD6DD"/>
              <w:insideH w:val="single" w:sz="6" w:color="CCD6DD"/>
              <w:insideV w:val="single" w:sz="6" w:color="CCD6DD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r>
              <w:t>Versioning, compatibility and upgrade policy</w:t>
            </w:r>
          </w:p>
        </w:tc>
      </w:tr>
    </w:tbl>
    <w:p>
      <w:pPr>
        <w:pStyle w:val="Heading1"/>
      </w:pPr>
      <w:r>
        <w:t>Riferimenti tecnici verificati</w:t>
      </w:r>
    </w:p>
    <w:p>
      <w:pPr>
        <w:pStyle w:val="Small"/>
      </w:pPr>
      <w:r>
        <w:t>Riferimenti ufficiali usati per confermare la fattibilità della baseline tecnologica. Le versioni concrete saranno fissate per ogni release HHC, non nel documento architetturale.</w:t>
      </w:r>
    </w:p>
    <w:p>
      <w:pPr>
        <w:pStyle w:val="Small"/>
      </w:pPr>
      <w:r>
        <w:rPr>
          <w:b/>
        </w:rPr>
        <w:t xml:space="preserve">Apache Camel — FHIR component: </w:t>
      </w:r>
      <w:r>
        <w:t>https://camel.apache.org/components/4.18.x/fhir-component.html</w:t>
      </w:r>
    </w:p>
    <w:p>
      <w:pPr>
        <w:pStyle w:val="Small"/>
      </w:pPr>
      <w:r>
        <w:rPr>
          <w:b/>
        </w:rPr>
        <w:t xml:space="preserve">Open eHealth IPF — IHE components: </w:t>
      </w:r>
      <w:r>
        <w:t>https://oehf.github.io/ipf-docs/docs/ihe/</w:t>
      </w:r>
    </w:p>
    <w:p>
      <w:pPr>
        <w:pStyle w:val="Small"/>
      </w:pPr>
      <w:r>
        <w:rPr>
          <w:b/>
        </w:rPr>
        <w:t xml:space="preserve">HAPI FHIR documentation: </w:t>
      </w:r>
      <w:r>
        <w:t>https://hapifhir.io/hapi-fhir/docs/</w:t>
      </w:r>
    </w:p>
    <w:p>
      <w:pPr>
        <w:pStyle w:val="Small"/>
      </w:pPr>
      <w:r>
        <w:rPr>
          <w:b/>
        </w:rPr>
        <w:t xml:space="preserve">HAPI HL7v2 documentation: </w:t>
      </w:r>
      <w:r>
        <w:t>https://hapifhir.github.io/hapi-hl7v2/</w:t>
      </w:r>
    </w:p>
    <w:p>
      <w:pPr>
        <w:pStyle w:val="Small"/>
      </w:pPr>
      <w:r>
        <w:rPr>
          <w:b/>
        </w:rPr>
        <w:t xml:space="preserve">dcm4che DICOM toolkit: </w:t>
      </w:r>
      <w:r>
        <w:t>https://github.com/dcm4che/dcm4che</w:t>
      </w:r>
    </w:p>
    <w:p>
      <w:pPr>
        <w:pStyle w:val="Small"/>
      </w:pPr>
      <w:r>
        <w:rPr>
          <w:b/>
        </w:rPr>
        <w:t xml:space="preserve">Apache Kafka: </w:t>
      </w:r>
      <w:r>
        <w:t>https://kafka.apache.org/</w:t>
      </w:r>
    </w:p>
    <w:p>
      <w:pPr>
        <w:pStyle w:val="Small"/>
      </w:pPr>
      <w:r>
        <w:rPr>
          <w:b/>
        </w:rPr>
        <w:t xml:space="preserve">Apicurio Registry: </w:t>
      </w:r>
      <w:r>
        <w:t>https://www.apicur.io/registry/docs/apicurio-registry/3.3.x/getting-started/assembly-artifact-reference.html</w:t>
      </w:r>
    </w:p>
    <w:p>
      <w:pPr>
        <w:pStyle w:val="Small"/>
      </w:pPr>
      <w:r>
        <w:rPr>
          <w:b/>
        </w:rPr>
        <w:t xml:space="preserve">Keycloak Server Administration: </w:t>
      </w:r>
      <w:r>
        <w:t>https://www.keycloak.org/docs/latest/server_admin/</w:t>
      </w:r>
    </w:p>
    <w:p>
      <w:pPr>
        <w:pStyle w:val="Small"/>
      </w:pPr>
      <w:r>
        <w:rPr>
          <w:b/>
        </w:rPr>
        <w:t xml:space="preserve">OpenTelemetry Java: </w:t>
      </w:r>
      <w:r>
        <w:t>https://opentelemetry.io/docs/languages/java/</w:t>
      </w:r>
    </w:p>
    <w:p>
      <w:pPr>
        <w:pStyle w:val="Small"/>
      </w:pPr>
      <w:r>
        <w:rPr>
          <w:b/>
        </w:rPr>
        <w:t xml:space="preserve">Orthanc REST API: </w:t>
      </w:r>
      <w:r>
        <w:t>https://orthanc.uclouvain.be/book/users/rest.html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9"/>
            <w:tcBorders>
              <w:top w:val="single" w:sz="6" w:color="B8C7D1"/>
              <w:left w:val="single" w:sz="6" w:color="B8C7D1"/>
              <w:bottom w:val="single" w:sz="6" w:color="B8C7D1"/>
              <w:right w:val="single" w:sz="6" w:color="B8C7D1"/>
              <w:insideH w:val="single" w:sz="6" w:color="B8C7D1"/>
              <w:insideV w:val="single" w:sz="6" w:color="B8C7D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7324D"/>
              </w:rPr>
              <w:t xml:space="preserve">Stato del documento. </w:t>
            </w:r>
            <w:r>
              <w:t>Questa versione è una foundation: congela le scelte che devono guidare il repository iniziale. I dettagli di API, classi, schema dati, deploy e mapping saranno specificati nei documenti tecnici derivati e negli ADR.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center"/>
    </w:pPr>
    <w:r>
      <w:t xml:space="preserve">HyperHealth Connect — Project foundation — 27 August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HYPERHEALTH CONNECT  |  ARCHITECTURE FOUNDATION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2" w:lineRule="auto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46B9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46B9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ptos" w:hAnsi="Aptos"/>
      <w:color w:val="566573"/>
      <w:sz w:val="16"/>
    </w:rPr>
  </w:style>
  <w:style w:type="paragraph" w:customStyle="1" w:styleId="CompactBullet">
    <w:name w:val="Compact Bullet"/>
    <w:pPr>
      <w:spacing w:after="24" w:line="240" w:lineRule="auto"/>
      <w:ind w:left="259" w:hanging="173"/>
    </w:pPr>
    <w:rPr>
      <w:rFonts w:ascii="Aptos" w:hAnsi="Aptos"/>
      <w:color w:val="1F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HyperHealth Connect — Architecture Foundation v0.1</dc:title>
  <dc:subject>Healthcare interoperability platform architecture and four-phase roadmap</dc:subject>
  <dc:creator>python-docx</dc:creator>
  <cp:keywords>HyperHealth Connect, healthcare interoperability, HL7, FHIR, IHE, DICOM, Apache Camel, IPF</cp:keywords>
  <dc:description>Foundation document generated for project inception.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