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Visión General, Funcionamiento y Arquitectura del Sistema</w:t>
      </w:r>
    </w:p>
    <w:p>
      <w:pPr>
        <w:pStyle w:val="Heading2"/>
      </w:pPr>
      <w:r>
        <w:t xml:space="preserve">Procesos Jurídicos</w:t>
      </w:r>
    </w:p>
    <w:p>
      <w:pPr/>
      <w:r>
        <w:t xml:space="preserve">Oct 12, 2026</w:t>
      </w:r>
      <w:r>
        <w:t xml:space="preserve"> · </w:t>
      </w:r>
      <w:r>
        <w:t xml:space="preserve">@Nando</w:t>
      </w:r>
    </w:p>
    <w:p>
      <w:pPr>
        <w:pStyle w:val="Heading2"/>
      </w:pPr>
      <w:r>
        <w:t xml:space="preserve">1. Descripción del proyecto</w:t>
      </w:r>
    </w:p>
    <w:p>
      <w:pPr/>
      <w:r>
        <w:rPr>
          <w:b/>
        </w:rPr>
        <w:t xml:space="preserve">Procesos Jurídicos</w:t>
      </w:r>
      <w:r>
        <w:t xml:space="preserve"> es un sistema de gestión para oficinas de abogados, construido para reemplazar el seguimiento manual (hojas de cálculo, carpetas físicas, recordatorios dispersos) de los procesos judiciales que lleva la oficina.</w:t>
      </w:r>
    </w:p>
    <w:p>
      <w:pPr/>
      <w:r>
        <w:rPr>
          <w:b/>
        </w:rPr>
        <w:t xml:space="preserve">Problema que resuelve:</w:t>
      </w:r>
      <w:r>
        <w:t xml:space="preserve"> una oficina jurídica maneja decenas o cientos de procesos activos a la vez, cada uno con su propio radicado, despacho, cliente, plazos y documentos. Verificar manualmente en los portales judiciales (Rama Judicial, Consejo de Estado, Justicia XXI) si hubo novedades es lento, se olvida, y cuando un plazo se vence sin que nadie lo note, el costo para el cliente y la oficina puede ser alto.</w:t>
      </w:r>
    </w:p>
    <w:p>
      <w:pPr/>
      <w:r>
        <w:rPr>
          <w:b/>
        </w:rPr>
        <w:t xml:space="preserve">Objetivo del sistema:</w:t>
      </w:r>
    </w:p>
    <w:p>
      <w:pPr>
        <w:pStyle w:val="ListParagraph"/>
        <w:numPr>
          <w:ilvl w:val="0"/>
          <w:numId w:val="2"/>
        </w:numPr>
      </w:pPr>
      <w:r>
        <w:t xml:space="preserve">Centralizar todos los procesos, clientes y honorarios de la oficina en un solo lugar.</w:t>
      </w:r>
    </w:p>
    <w:p>
      <w:pPr>
        <w:pStyle w:val="ListParagraph"/>
        <w:numPr>
          <w:ilvl w:val="0"/>
          <w:numId w:val="2"/>
        </w:numPr>
      </w:pPr>
      <w:r>
        <w:t xml:space="preserve">Automatizar la consulta periódica de los portales judiciales (actuaciones y documentos nuevos) en lugar de revisarlos uno por uno a mano.</w:t>
      </w:r>
    </w:p>
    <w:p>
      <w:pPr>
        <w:pStyle w:val="ListParagraph"/>
        <w:numPr>
          <w:ilvl w:val="0"/>
          <w:numId w:val="2"/>
        </w:numPr>
      </w:pPr>
      <w:r>
        <w:t xml:space="preserve">Alertar a tiempo sobre vencimientos de plazos y procesos en espera de respuesta.</w:t>
      </w:r>
    </w:p>
    <w:p>
      <w:pPr>
        <w:pStyle w:val="ListParagraph"/>
        <w:numPr>
          <w:ilvl w:val="0"/>
          <w:numId w:val="2"/>
        </w:numPr>
      </w:pPr>
      <w:r>
        <w:t xml:space="preserve">Dejar trazabilidad de cada actuación, documento y honorario asociado a un proceso.</w:t>
      </w:r>
    </w:p>
    <w:p>
      <w:pPr/>
      <w:r>
        <w:t xml:space="preserve">El sistema está en producción, en uso activo por la oficina (no es un prototipo).</w:t>
      </w:r>
    </w:p>
    <w:p>
      <w:pPr>
        <w:pStyle w:val="Heading2"/>
      </w:pPr>
      <w:r>
        <w:t xml:space="preserve">2. Alcance</w:t>
      </w:r>
    </w:p>
    <w:p>
      <w:pPr/>
      <w:r>
        <w:rPr>
          <w:b/>
        </w:rPr>
        <w:t xml:space="preserve">Incluye:</w:t>
      </w:r>
    </w:p>
    <w:p>
      <w:pPr>
        <w:pStyle w:val="ListParagraph"/>
        <w:numPr>
          <w:ilvl w:val="0"/>
          <w:numId w:val="3"/>
        </w:numPr>
      </w:pPr>
      <w:r>
        <w:t xml:space="preserve">Gestión de clientes, procesos, actuaciones, anexos (documentos) y honorarios.</w:t>
      </w:r>
    </w:p>
    <w:p>
      <w:pPr>
        <w:pStyle w:val="ListParagraph"/>
        <w:numPr>
          <w:ilvl w:val="0"/>
          <w:numId w:val="3"/>
        </w:numPr>
      </w:pPr>
      <w:r>
        <w:t xml:space="preserve">Sincronización automática y manual con tres portales judiciales: Rama Judicial, SAMAI (Consejo de Estado) y TYBA (Justicia XXI Web).</w:t>
      </w:r>
    </w:p>
    <w:p>
      <w:pPr>
        <w:pStyle w:val="ListParagraph"/>
        <w:numPr>
          <w:ilvl w:val="0"/>
          <w:numId w:val="3"/>
        </w:numPr>
      </w:pPr>
      <w:r>
        <w:t xml:space="preserve">Dashboard con indicadores (procesos por vencer, en espera, resumen financiero, publicaciones procesales).</w:t>
      </w:r>
    </w:p>
    <w:p>
      <w:pPr>
        <w:pStyle w:val="ListParagraph"/>
        <w:numPr>
          <w:ilvl w:val="0"/>
          <w:numId w:val="3"/>
        </w:numPr>
      </w:pPr>
      <w:r>
        <w:t xml:space="preserve">Notificaciones (email / SMS / WhatsApp) cuando hay una actuación nueva.</w:t>
      </w:r>
    </w:p>
    <w:p>
      <w:pPr>
        <w:pStyle w:val="ListParagraph"/>
        <w:numPr>
          <w:ilvl w:val="0"/>
          <w:numId w:val="3"/>
        </w:numPr>
      </w:pPr>
      <w:r>
        <w:t xml:space="preserve">Reportes en PDF por proceso.</w:t>
      </w:r>
    </w:p>
    <w:p>
      <w:pPr>
        <w:pStyle w:val="ListParagraph"/>
        <w:numPr>
          <w:ilvl w:val="0"/>
          <w:numId w:val="3"/>
        </w:numPr>
      </w:pPr>
      <w:r>
        <w:t xml:space="preserve">Documentación técnica (OpenAPI/Swagger) y manual de usuario, ambos ya entregados.</w:t>
      </w:r>
    </w:p>
    <w:p>
      <w:pPr/>
      <w:r>
        <w:rPr>
          <w:b/>
        </w:rPr>
        <w:t xml:space="preserve">Queda fuera (por ahora):</w:t>
      </w:r>
    </w:p>
    <w:p>
      <w:pPr>
        <w:pStyle w:val="ListParagraph"/>
        <w:numPr>
          <w:ilvl w:val="0"/>
          <w:numId w:val="4"/>
        </w:numPr>
      </w:pPr>
      <w:r>
        <w:t xml:space="preserve">Integración con el portal SIUGJ (procesos laborales/penales) — el portal mismo aún muestra "próximamente" del lado de la Rama Judicial, por lo que no hay nada que integrar todavía.</w:t>
      </w:r>
    </w:p>
    <w:p>
      <w:pPr>
        <w:pStyle w:val="ListParagraph"/>
        <w:numPr>
          <w:ilvl w:val="0"/>
          <w:numId w:val="4"/>
        </w:numPr>
      </w:pPr>
      <w:r>
        <w:t xml:space="preserve">Pruebas automatizadas (suite de tests) — planeadas, no implementadas aún.</w:t>
      </w:r>
    </w:p>
    <w:p>
      <w:pPr>
        <w:pStyle w:val="ListParagraph"/>
        <w:numPr>
          <w:ilvl w:val="0"/>
          <w:numId w:val="4"/>
        </w:numPr>
      </w:pPr>
      <w:r>
        <w:t xml:space="preserve">Despliegue en un servidor web público — hoy corre sobre XAMPP local; el despliegue a un hosting (ej. Infinity) está pendiente de evaluar, en particular si soporta el servicio Node/Playwright que alimenta SAMAI y TYBA.</w:t>
      </w:r>
    </w:p>
    <w:p>
      <w:pPr>
        <w:pStyle w:val="ListParagraph"/>
        <w:numPr>
          <w:ilvl w:val="0"/>
          <w:numId w:val="4"/>
        </w:numPr>
      </w:pPr>
      <w:r>
        <w:t xml:space="preserve">Control de roles/permisos granular (ver sección 9: hoy todo usuario autenticado tiene el mismo nivel de acceso).</w:t>
      </w:r>
    </w:p>
    <w:p>
      <w:pPr>
        <w:pStyle w:val="Heading2"/>
      </w:pPr>
      <w:r>
        <w:t xml:space="preserve">3. Actores y perfiles</w:t>
      </w:r>
    </w:p>
    <w:p>
      <w:pPr/>
      <w:r>
        <w:t xml:space="preserve">El sistema maneja un único nivel de usuario autenticado (abogado / personal de la oficina) — no hay roles diferenciados en la base de datos (ver sección 9). En la práctica, dentro de la oficina se reconocen dos tipos de uso:</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Actor</w:t>
            </w:r>
          </w:p>
        </w:tc>
        <w:tc>
          <w:tcPr>
            <w:tcW w:w="4680" w:type="dxa"/>
            <w:shd w:val="clear" w:color="auto" w:fill="F2F2F2"/>
          </w:tcPr>
          <w:p>
            <w:pPr/>
            <w:r>
              <w:t xml:space="preserve">Qué hace en el sistema</w:t>
            </w:r>
          </w:p>
        </w:tc>
      </w:tr>
      <w:tr>
        <w:tc>
          <w:tcPr>
            <w:tcW w:w="4680" w:type="dxa"/>
          </w:tcPr>
          <w:p>
            <w:pPr/>
            <w:r>
              <w:t xml:space="preserve">Usuario / abogado</w:t>
            </w:r>
          </w:p>
        </w:tc>
        <w:tc>
          <w:tcPr>
            <w:tcW w:w="4680" w:type="dxa"/>
          </w:tcPr>
          <w:p>
            <w:pPr/>
            <w:r>
              <w:t xml:space="preserve">Crea y da seguimiento a procesos y clientes, sincroniza con los portales, gestiona honorarios, recibe notificaciones de actuaciones nuevas, genera reportes.</w:t>
            </w:r>
          </w:p>
        </w:tc>
      </w:tr>
      <w:tr>
        <w:tc>
          <w:tcPr>
            <w:tcW w:w="4680" w:type="dxa"/>
          </w:tcPr>
          <w:p>
            <w:pPr/>
            <w:r>
              <w:t xml:space="preserve">Administrador (convención operativa, no un rol en BD)</w:t>
            </w:r>
          </w:p>
        </w:tc>
        <w:tc>
          <w:tcPr>
            <w:tcW w:w="4680" w:type="dxa"/>
          </w:tcPr>
          <w:p>
            <w:pPr/>
            <w:r>
              <w:t xml:space="preserve">Mismo acceso que cualquier usuario, pero es a quien se recurre para tareas sensibles como restablecer la contraseña de otro usuario (hoy es un proceso manual, no automatizado desde la app).</w:t>
            </w:r>
          </w:p>
        </w:tc>
      </w:tr>
      <w:tr>
        <w:tc>
          <w:tcPr>
            <w:tcW w:w="4680" w:type="dxa"/>
          </w:tcPr>
          <w:p>
            <w:pPr/>
            <w:r>
              <w:t xml:space="preserve">Cliente (sujeto del proceso)</w:t>
            </w:r>
          </w:p>
        </w:tc>
        <w:tc>
          <w:tcPr>
            <w:tcW w:w="4680" w:type="dxa"/>
          </w:tcPr>
          <w:p>
            <w:pPr/>
            <w:r>
              <w:t xml:space="preserve">No tiene acceso al sistema. Es la persona/entidad representada; sus datos y procesos son gestionados por el usuario.</w:t>
            </w:r>
          </w:p>
        </w:tc>
      </w:tr>
    </w:tbl>
    <w:p>
      <w:pPr/>
      <w:r>
        <w:t xml:space="preserve">Fuera de estos, los </w:t>
      </w:r>
      <w:r>
        <w:rPr>
          <w:b/>
        </w:rPr>
        <w:t xml:space="preserve">servicios externos</w:t>
      </w:r>
      <w:r>
        <w:t xml:space="preserve"> con los que interactúa el sistema (portales judiciales, servicio de correo/SMS/WhatsApp) se detallan en la sección 7 (Arquitectura).</w:t>
      </w:r>
    </w:p>
    <w:p>
      <w:pPr>
        <w:pStyle w:val="Heading2"/>
      </w:pPr>
      <w:r>
        <w:t xml:space="preserve">4. Módulos funcionales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Módulo</w:t>
            </w:r>
          </w:p>
        </w:tc>
        <w:tc>
          <w:tcPr>
            <w:tcW w:w="4680" w:type="dxa"/>
            <w:shd w:val="clear" w:color="auto" w:fill="F2F2F2"/>
          </w:tcPr>
          <w:p>
            <w:pPr/>
            <w:r>
              <w:t xml:space="preserve">Para qué sirve</w:t>
            </w:r>
          </w:p>
        </w:tc>
      </w:tr>
      <w:tr>
        <w:tc>
          <w:tcPr>
            <w:tcW w:w="4680" w:type="dxa"/>
          </w:tcPr>
          <w:p>
            <w:pPr/>
            <w:r>
              <w:t xml:space="preserve">Dashboard</w:t>
            </w:r>
          </w:p>
        </w:tc>
        <w:tc>
          <w:tcPr>
            <w:tcW w:w="4680" w:type="dxa"/>
          </w:tcPr>
          <w:p>
            <w:pPr/>
            <w:r>
              <w:t xml:space="preserve">Vista general: resumen financiero, procesos por vencer, en espera, semáforo de plazos, publicaciones procesales. Personalizable (el usuario elige qué tarjetas ver).</w:t>
            </w:r>
          </w:p>
        </w:tc>
      </w:tr>
      <w:tr>
        <w:tc>
          <w:tcPr>
            <w:tcW w:w="4680" w:type="dxa"/>
          </w:tcPr>
          <w:p>
            <w:pPr/>
            <w:r>
              <w:t xml:space="preserve">Procesos</w:t>
            </w:r>
          </w:p>
        </w:tc>
        <w:tc>
          <w:tcPr>
            <w:tcW w:w="4680" w:type="dxa"/>
          </w:tcPr>
          <w:p>
            <w:pPr/>
            <w:r>
              <w:t xml:space="preserve">CRUD de procesos judiciales: radicado, despacho, tipo, estado, cliente asociado, portal de consulta asignado (Rama / SAMAI / TYBA / ninguno).</w:t>
            </w:r>
          </w:p>
        </w:tc>
      </w:tr>
      <w:tr>
        <w:tc>
          <w:tcPr>
            <w:tcW w:w="4680" w:type="dxa"/>
          </w:tcPr>
          <w:p>
            <w:pPr/>
            <w:r>
              <w:t xml:space="preserve">Clientes</w:t>
            </w:r>
          </w:p>
        </w:tc>
        <w:tc>
          <w:tcPr>
            <w:tcW w:w="4680" w:type="dxa"/>
          </w:tcPr>
          <w:p>
            <w:pPr/>
            <w:r>
              <w:t xml:space="preserve">CRUD de clientes (personas/entidades representadas) asociados a uno o varios procesos.</w:t>
            </w:r>
          </w:p>
        </w:tc>
      </w:tr>
      <w:tr>
        <w:tc>
          <w:tcPr>
            <w:tcW w:w="4680" w:type="dxa"/>
          </w:tcPr>
          <w:p>
            <w:pPr/>
            <w:r>
              <w:t xml:space="preserve">Actuaciones</w:t>
            </w:r>
          </w:p>
        </w:tc>
        <w:tc>
          <w:tcPr>
            <w:tcW w:w="4680" w:type="dxa"/>
          </w:tcPr>
          <w:p>
            <w:pPr/>
            <w:r>
              <w:t xml:space="preserve">Registro cronológico de novedades de cada proceso — las que llegan automáticamente desde los portales, con su fecha, despacho y descripción.</w:t>
            </w:r>
          </w:p>
        </w:tc>
      </w:tr>
      <w:tr>
        <w:tc>
          <w:tcPr>
            <w:tcW w:w="4680" w:type="dxa"/>
          </w:tcPr>
          <w:p>
            <w:pPr/>
            <w:r>
              <w:t xml:space="preserve">Anexos</w:t>
            </w:r>
          </w:p>
        </w:tc>
        <w:tc>
          <w:tcPr>
            <w:tcW w:w="4680" w:type="dxa"/>
          </w:tcPr>
          <w:p>
            <w:pPr/>
            <w:r>
              <w:t xml:space="preserve">Documentos asociados a un proceso o a una actuación puntual — subidos a mano o traídos automáticamente desde SAMAI/TYBA.</w:t>
            </w:r>
          </w:p>
        </w:tc>
      </w:tr>
      <w:tr>
        <w:tc>
          <w:tcPr>
            <w:tcW w:w="4680" w:type="dxa"/>
          </w:tcPr>
          <w:p>
            <w:pPr/>
            <w:r>
              <w:t xml:space="preserve">Sincronización con portales</w:t>
            </w:r>
          </w:p>
        </w:tc>
        <w:tc>
          <w:tcPr>
            <w:tcW w:w="4680" w:type="dxa"/>
          </w:tcPr>
          <w:p>
            <w:pPr/>
            <w:r>
              <w:t xml:space="preserve">Consulta manual (botón) o automática (cron) a Rama Judicial, SAMAI y TYBA para traer actuaciones y documentos nuevos. Incluye un aviso persistente en pantalla con contador en vivo mientras trae documentos en segundo plano.</w:t>
            </w:r>
          </w:p>
        </w:tc>
      </w:tr>
      <w:tr>
        <w:tc>
          <w:tcPr>
            <w:tcW w:w="4680" w:type="dxa"/>
          </w:tcPr>
          <w:p>
            <w:pPr/>
            <w:r>
              <w:t xml:space="preserve">Honorarios</w:t>
            </w:r>
          </w:p>
        </w:tc>
        <w:tc>
          <w:tcPr>
            <w:tcW w:w="4680" w:type="dxa"/>
          </w:tcPr>
          <w:p>
            <w:pPr/>
            <w:r>
              <w:t xml:space="preserve">Registro de cobros/pagos asociados a un proceso: tipos, estados, montos.</w:t>
            </w:r>
          </w:p>
        </w:tc>
      </w:tr>
      <w:tr>
        <w:tc>
          <w:tcPr>
            <w:tcW w:w="4680" w:type="dxa"/>
          </w:tcPr>
          <w:p>
            <w:pPr/>
            <w:r>
              <w:t xml:space="preserve">Notificaciones</w:t>
            </w:r>
          </w:p>
        </w:tc>
        <w:tc>
          <w:tcPr>
            <w:tcW w:w="4680" w:type="dxa"/>
          </w:tcPr>
          <w:p>
            <w:pPr/>
            <w:r>
              <w:t xml:space="preserve">Envío automático (email / SMS / WhatsApp) cuando se detecta una actuación nueva en un proceso, según configuración por usuario.</w:t>
            </w:r>
          </w:p>
        </w:tc>
      </w:tr>
      <w:tr>
        <w:tc>
          <w:tcPr>
            <w:tcW w:w="4680" w:type="dxa"/>
          </w:tcPr>
          <w:p>
            <w:pPr/>
            <w:r>
              <w:t xml:space="preserve">Parametrización</w:t>
            </w:r>
          </w:p>
        </w:tc>
        <w:tc>
          <w:tcPr>
            <w:tcW w:w="4680" w:type="dxa"/>
          </w:tcPr>
          <w:p>
            <w:pPr/>
            <w:r>
              <w:t xml:space="preserve">Catálogos de soporte: tipos de proceso, estados de proceso, departamentos, municipios, despachos, entidades.</w:t>
            </w:r>
          </w:p>
        </w:tc>
      </w:tr>
      <w:tr>
        <w:tc>
          <w:tcPr>
            <w:tcW w:w="4680" w:type="dxa"/>
          </w:tcPr>
          <w:p>
            <w:pPr/>
            <w:r>
              <w:t xml:space="preserve">Reportes</w:t>
            </w:r>
          </w:p>
        </w:tc>
        <w:tc>
          <w:tcPr>
            <w:tcW w:w="4680" w:type="dxa"/>
          </w:tcPr>
          <w:p>
            <w:pPr/>
            <w:r>
              <w:t xml:space="preserve">Generación de un PDF por proceso con su información consolidada (actuaciones, anexos, honorarios).</w:t>
            </w:r>
          </w:p>
        </w:tc>
      </w:tr>
      <w:tr>
        <w:tc>
          <w:tcPr>
            <w:tcW w:w="4680" w:type="dxa"/>
          </w:tcPr>
          <w:p>
            <w:pPr/>
            <w:r>
              <w:t xml:space="preserve">Buscador rápido</w:t>
            </w:r>
          </w:p>
        </w:tc>
        <w:tc>
          <w:tcPr>
            <w:tcW w:w="4680" w:type="dxa"/>
          </w:tcPr>
          <w:p>
            <w:pPr/>
            <w:r>
              <w:t xml:space="preserve">Búsqueda de procesos desde cualquier pantalla, a través de la barra lateral.</w:t>
            </w:r>
          </w:p>
        </w:tc>
      </w:tr>
    </w:tbl>
    <w:p>
      <w:pPr/>
      <w:r>
        <w:t xml:space="preserve">Cada módulo corresponde, del lado del backend, a uno o varios controladores PHP documentados en detalle (parámetros, respuestas) en </w:t>
      </w:r>
      <w:r>
        <w:rPr>
          <w:rStyle w:val="CodeChar"/>
        </w:rPr>
        <w:t xml:space="preserve">docs/openapi.yaml</w:t>
      </w:r>
      <w:r>
        <w:t xml:space="preserve">.</w:t>
      </w:r>
    </w:p>
    <w:p>
      <w:pPr>
        <w:pStyle w:val="Heading2"/>
      </w:pPr>
      <w:r>
        <w:t xml:space="preserve">5. Flujos de negocio</w:t>
      </w:r>
    </w:p>
    <w:p>
      <w:pPr/>
      <w:r>
        <w:rPr>
          <w:b/>
        </w:rPr>
        <w:t xml:space="preserve">A. Alta de un proceso y primera sincronización</w:t>
      </w:r>
    </w:p>
    <w:p>
      <w:pPr>
        <w:pStyle w:val="ListParagraph"/>
        <w:numPr>
          <w:ilvl w:val="0"/>
          <w:numId w:val="5"/>
        </w:numPr>
      </w:pPr>
      <w:r>
        <w:t xml:space="preserve">El usuario crea el proceso: radicado, cliente, tipo, despacho y elige el </w:t>
      </w:r>
      <w:r>
        <w:rPr>
          <w:b/>
        </w:rPr>
        <w:t xml:space="preserve">portal de consulta</w:t>
      </w:r>
      <w:r>
        <w:t xml:space="preserve"> (Rama / SAMAI / TYBA / ninguno) — esta elección determina qué scraper se usará para ese proceso de ahí en adelante.</w:t>
      </w:r>
    </w:p>
    <w:p>
      <w:pPr>
        <w:pStyle w:val="ListParagraph"/>
        <w:numPr>
          <w:ilvl w:val="0"/>
          <w:numId w:val="5"/>
        </w:numPr>
      </w:pPr>
      <w:r>
        <w:t xml:space="preserve">El usuario dispara la sincronización manual (botón) o espera al cron automático.</w:t>
      </w:r>
    </w:p>
    <w:p>
      <w:pPr>
        <w:pStyle w:val="ListParagraph"/>
        <w:numPr>
          <w:ilvl w:val="0"/>
          <w:numId w:val="5"/>
        </w:numPr>
      </w:pPr>
      <w:r>
        <w:t xml:space="preserve">El backend PHP llama al API del portal correspondiente (directo por HTTP para Rama Judicial; vía el microservicio Node/Playwright para SAMAI y TYBA, que simulan la navegación real del portal).</w:t>
      </w:r>
    </w:p>
    <w:p>
      <w:pPr>
        <w:pStyle w:val="ListParagraph"/>
        <w:numPr>
          <w:ilvl w:val="0"/>
          <w:numId w:val="5"/>
        </w:numPr>
      </w:pPr>
      <w:r>
        <w:t xml:space="preserve">Se guardan las actuaciones nuevas (comparando contra las ya existentes por un identificador único) y se disparan notificaciones por cada una.</w:t>
      </w:r>
    </w:p>
    <w:p>
      <w:pPr>
        <w:pStyle w:val="ListParagraph"/>
        <w:numPr>
          <w:ilvl w:val="0"/>
          <w:numId w:val="5"/>
        </w:numPr>
      </w:pPr>
      <w:r>
        <w:t xml:space="preserve">En background, se descargan los documentos/anexos asociados; el usuario ve un aviso persistente con contador ("3 de 12 documentos") mientras esto corre.</w:t>
      </w:r>
    </w:p>
    <w:p>
      <w:pPr>
        <w:pStyle w:val="ListParagraph"/>
        <w:numPr>
          <w:ilvl w:val="0"/>
          <w:numId w:val="5"/>
        </w:numPr>
      </w:pPr>
      <w:r>
        <w:t xml:space="preserve">Al terminar, el aviso desaparece y los documentos quedan disponibles en la pestaña de Anexos del proceso.</w:t>
      </w:r>
    </w:p>
    <w:p>
      <w:pPr/>
      <w:r>
        <w:rPr>
          <w:b/>
        </w:rPr>
        <w:t xml:space="preserve">B. Sincronización automática (cron)</w:t>
      </w:r>
    </w:p>
    <w:p>
      <w:pPr>
        <w:pStyle w:val="ListParagraph"/>
        <w:numPr>
          <w:ilvl w:val="0"/>
          <w:numId w:val="6"/>
        </w:numPr>
      </w:pPr>
      <w:r>
        <w:t xml:space="preserve">El cron (</w:t>
      </w:r>
      <w:r>
        <w:rPr>
          <w:rStyle w:val="CodeChar"/>
        </w:rPr>
        <w:t xml:space="preserve">backend/cron/sincronizar_actuaciones.php</w:t>
      </w:r>
      <w:r>
        <w:t xml:space="preserve">) corre periódicamente (programado en el servidor, fuera de la app).</w:t>
      </w:r>
    </w:p>
    <w:p>
      <w:pPr>
        <w:pStyle w:val="ListParagraph"/>
        <w:numPr>
          <w:ilvl w:val="0"/>
          <w:numId w:val="6"/>
        </w:numPr>
      </w:pPr>
      <w:r>
        <w:t xml:space="preserve">Recorre todos los procesos con radicado y los agrupa por su portal asignado.</w:t>
      </w:r>
    </w:p>
    <w:p>
      <w:pPr>
        <w:pStyle w:val="ListParagraph"/>
        <w:numPr>
          <w:ilvl w:val="0"/>
          <w:numId w:val="6"/>
        </w:numPr>
      </w:pPr>
      <w:r>
        <w:t xml:space="preserve">Sincroniza cada grupo contra su portal (Rama / SAMAI / TYBA) de forma independiente — si uno falla (ej. el servicio Node caído), los demás portales igual se sincronizan.</w:t>
      </w:r>
    </w:p>
    <w:p>
      <w:pPr>
        <w:pStyle w:val="ListParagraph"/>
        <w:numPr>
          <w:ilvl w:val="0"/>
          <w:numId w:val="6"/>
        </w:numPr>
      </w:pPr>
      <w:r>
        <w:t xml:space="preserve">Guarda actuaciones y anexos nuevos, dispara notificaciones, y deja registro en </w:t>
      </w:r>
      <w:r>
        <w:rPr>
          <w:rStyle w:val="CodeChar"/>
        </w:rPr>
        <w:t xml:space="preserve">logs/sincronizacion.log</w:t>
      </w:r>
      <w:r>
        <w:t xml:space="preserve">.</w:t>
      </w:r>
    </w:p>
    <w:p>
      <w:pPr/>
      <w:r>
        <w:rPr>
          <w:b/>
        </w:rPr>
        <w:t xml:space="preserve">C. Alerta de vencimiento</w:t>
      </w:r>
    </w:p>
    <w:p>
      <w:pPr>
        <w:pStyle w:val="ListParagraph"/>
        <w:numPr>
          <w:ilvl w:val="0"/>
          <w:numId w:val="7"/>
        </w:numPr>
      </w:pPr>
      <w:r>
        <w:t xml:space="preserve">Cada proceso tiene una fecha de vencimiento asociada a su estado/plazo.</w:t>
      </w:r>
    </w:p>
    <w:p>
      <w:pPr>
        <w:pStyle w:val="ListParagraph"/>
        <w:numPr>
          <w:ilvl w:val="0"/>
          <w:numId w:val="7"/>
        </w:numPr>
      </w:pPr>
      <w:r>
        <w:t xml:space="preserve">El dashboard calcula un "semáforo" (verde/naranja/rojo) según cuántos días faltan.</w:t>
      </w:r>
    </w:p>
    <w:p>
      <w:pPr>
        <w:pStyle w:val="ListParagraph"/>
        <w:numPr>
          <w:ilvl w:val="0"/>
          <w:numId w:val="7"/>
        </w:numPr>
      </w:pPr>
      <w:r>
        <w:t xml:space="preserve">El usuario revisa el dashboard (o la tarjeta "Por vencer") para priorizar qué procesos atender primero — hoy es un indicador visual, no una notificación push automática de vencimiento (solo las actuaciones nuevas generan notificación automática).</w:t>
      </w:r>
    </w:p>
    <w:p>
      <w:pPr>
        <w:pStyle w:val="Heading2"/>
      </w:pPr>
      <w:r>
        <w:t xml:space="preserve">6. Reglas de negocio</w:t>
      </w:r>
    </w:p>
    <w:p>
      <w:pPr>
        <w:pStyle w:val="ListParagraph"/>
        <w:numPr>
          <w:ilvl w:val="0"/>
          <w:numId w:val="8"/>
        </w:numPr>
      </w:pPr>
      <w:r>
        <w:rPr>
          <w:b/>
        </w:rPr>
        <w:t xml:space="preserve">Un proceso tiene un único portal de consulta activo</w:t>
      </w:r>
      <w:r>
        <w:t xml:space="preserve"> (Rama, SAMAI, TYBA o ninguno) — no se sincroniza contra varios portales a la vez para el mismo proceso.</w:t>
      </w:r>
    </w:p>
    <w:p>
      <w:pPr>
        <w:pStyle w:val="ListParagraph"/>
        <w:numPr>
          <w:ilvl w:val="0"/>
          <w:numId w:val="8"/>
        </w:numPr>
      </w:pPr>
      <w:r>
        <w:rPr>
          <w:b/>
        </w:rPr>
        <w:t xml:space="preserve">Deduplicación de actuaciones:</w:t>
      </w:r>
      <w:r>
        <w:t xml:space="preserve"> una actuación se considera "ya existente" por la combinación (proceso, identificador del portal, despacho); si el portal la repite en una consulta posterior, no se duplica ni se vuelve a notificar.</w:t>
      </w:r>
    </w:p>
    <w:p>
      <w:pPr>
        <w:pStyle w:val="ListParagraph"/>
        <w:numPr>
          <w:ilvl w:val="0"/>
          <w:numId w:val="8"/>
        </w:numPr>
      </w:pPr>
      <w:r>
        <w:rPr>
          <w:b/>
        </w:rPr>
        <w:t xml:space="preserve">Actuaciones incompletas se descartan:</w:t>
      </w:r>
      <w:r>
        <w:t xml:space="preserve"> si el portal devuelve un registro sin id o sin fecha, se omite (se registra en el log) en vez de guardarse con datos inválidos.</w:t>
      </w:r>
    </w:p>
    <w:p>
      <w:pPr>
        <w:pStyle w:val="ListParagraph"/>
        <w:numPr>
          <w:ilvl w:val="0"/>
          <w:numId w:val="8"/>
        </w:numPr>
      </w:pPr>
      <w:r>
        <w:rPr>
          <w:b/>
        </w:rPr>
        <w:t xml:space="preserve">Toda actuación nueva dispara notificación</w:t>
      </w:r>
      <w:r>
        <w:t xml:space="preserve">, según la configuración de canales (email/SMS/WhatsApp) que tenga el usuario — un fallo en el envío de la notificación no revierte el guardado de la actuación.</w:t>
      </w:r>
    </w:p>
    <w:p>
      <w:pPr>
        <w:pStyle w:val="ListParagraph"/>
        <w:numPr>
          <w:ilvl w:val="0"/>
          <w:numId w:val="8"/>
        </w:numPr>
      </w:pPr>
      <w:r>
        <w:rPr>
          <w:b/>
        </w:rPr>
        <w:t xml:space="preserve">Procesos privados:</w:t>
      </w:r>
      <w:r>
        <w:t xml:space="preserve"> un proceso puede marcarse como privado (sujetos procesales reservados); afecta qué información se muestra en reportes/listados públicos.</w:t>
      </w:r>
    </w:p>
    <w:p>
      <w:pPr>
        <w:pStyle w:val="ListParagraph"/>
        <w:numPr>
          <w:ilvl w:val="0"/>
          <w:numId w:val="8"/>
        </w:numPr>
      </w:pPr>
      <w:r>
        <w:rPr>
          <w:b/>
        </w:rPr>
        <w:t xml:space="preserve">Radicado obligatorio para sincronizar:</w:t>
      </w:r>
      <w:r>
        <w:t xml:space="preserve"> un proceso sin número de radicado se omite automáticamente de cualquier sincronización (manual o por cron).</w:t>
      </w:r>
    </w:p>
    <w:p>
      <w:pPr>
        <w:pStyle w:val="ListParagraph"/>
        <w:numPr>
          <w:ilvl w:val="0"/>
          <w:numId w:val="8"/>
        </w:numPr>
      </w:pPr>
      <w:r>
        <w:rPr>
          <w:b/>
        </w:rPr>
        <w:t xml:space="preserve">Anexos por fuente:</w:t>
      </w:r>
      <w:r>
        <w:t xml:space="preserve"> SAMAI expone un único listado de documentos por expediente; TYBA expone documentos generales </w:t>
      </w:r>
      <w:r>
        <w:rPr>
          <w:b/>
        </w:rPr>
        <w:t xml:space="preserve">y</w:t>
      </w:r>
      <w:r>
        <w:t xml:space="preserve"> documentos propios de cada actuación por separado — el sistema trata ambos casos de forma distinta al guardar los anexos.</w:t>
      </w:r>
    </w:p>
    <w:p>
      <w:pPr>
        <w:pStyle w:val="ListParagraph"/>
        <w:numPr>
          <w:ilvl w:val="0"/>
          <w:numId w:val="8"/>
        </w:numPr>
      </w:pPr>
      <w:r>
        <w:rPr>
          <w:b/>
        </w:rPr>
        <w:t xml:space="preserve">Honorarios</w:t>
      </w:r>
      <w:r>
        <w:t xml:space="preserve"> se asocian siempre a un proceso específico, con un tipo y un estado (ver catálogo en Parametrización).</w:t>
      </w:r>
    </w:p>
    <w:p>
      <w:pPr>
        <w:pStyle w:val="Heading2"/>
      </w:pPr>
      <w:r>
        <w:t xml:space="preserve">7. Arquitectura general</w:t>
      </w:r>
    </w:p>
    <w:p>
      <w:pPr/>
      <w:r>
        <w:t xml:space="preserve">El backend PHP centraliza todo: es el único componente que habla con la base de datos, con los tres portales judiciales y con el servicio de notificaciones. El frontend nunca llama a un portal directamente.</w:t>
      </w:r>
    </w:p>
    <w:p>
      <w:pPr/>
      <w:r>
        <w:drawing>
          <wp:inline distT="0" distB="0" distL="0" distR="0">
            <wp:extent cx="5486400" cy="3012621"/>
            <wp:docPr id="1" name="image1" descr="arquitectura · frontend, backend PHP, BD y 3 portales judiciales"/>
            <a:graphic xmlns:a="http://schemas.openxmlformats.org/drawingml/2006/main">
              <a:graphicData uri="http://schemas.openxmlformats.org/drawingml/2006/picture">
                <pic:pic xmlns:pic="http://schemas.openxmlformats.org/drawingml/2006/picture">
                  <pic:nvPicPr>
                    <pic:cNvPr id="1" name="image1" descr="arquitectura · frontend, backend PHP, BD y 3 portales judiciales"/>
                    <pic:cNvPicPr/>
                  </pic:nvPicPr>
                  <pic:blipFill>
                    <a:blip r:embed="rId3"/>
                    <a:stretch>
                      <a:fillRect/>
                    </a:stretch>
                  </pic:blipFill>
                  <pic:spPr>
                    <a:xfrm>
                      <a:off x="0" y="0"/>
                      <a:ext cx="5486400" cy="3012621"/>
                    </a:xfrm>
                    <a:prstGeom prst="rect">
                      <a:avLst/>
                    </a:prstGeom>
                  </pic:spPr>
                </pic:pic>
              </a:graphicData>
            </a:graphic>
          </wp:inline>
        </w:drawing>
      </w:r>
    </w:p>
    <w:p>
      <w:pPr/>
      <w:r>
        <w:t xml:space="preserve">arquitectura · frontend, backend PHP, BD y 3 portales judiciales</w:t>
      </w:r>
    </w:p>
    <w:p>
      <w:pPr>
        <w:pStyle w:val="ListParagraph"/>
        <w:numPr>
          <w:ilvl w:val="0"/>
          <w:numId w:val="9"/>
        </w:numPr>
      </w:pPr>
      <w:r>
        <w:rPr>
          <w:b/>
        </w:rPr>
        <w:t xml:space="preserve">Frontend:</w:t>
      </w:r>
      <w:r>
        <w:t xml:space="preserve"> PHP + JavaScript plano, renderizado por el propio servidor (sin framework JS). Corre en el navegador del usuario.</w:t>
      </w:r>
    </w:p>
    <w:p>
      <w:pPr>
        <w:pStyle w:val="ListParagraph"/>
        <w:numPr>
          <w:ilvl w:val="0"/>
          <w:numId w:val="9"/>
        </w:numPr>
      </w:pPr>
      <w:r>
        <w:rPr>
          <w:b/>
        </w:rPr>
        <w:t xml:space="preserve">Backend:</w:t>
      </w:r>
      <w:r>
        <w:t xml:space="preserve"> PHP, estilo "action-dispatch" — cada controlador es un endpoint que recibe un parámetro </w:t>
      </w:r>
      <w:r>
        <w:rPr>
          <w:rStyle w:val="CodeChar"/>
        </w:rPr>
        <w:t xml:space="preserve">action</w:t>
      </w:r>
      <w:r>
        <w:t xml:space="preserve"> (ver </w:t>
      </w:r>
      <w:r>
        <w:rPr>
          <w:rStyle w:val="CodeChar"/>
        </w:rPr>
        <w:t xml:space="preserve">docs/openapi.yaml</w:t>
      </w:r>
      <w:r>
        <w:t xml:space="preserve">). Autenticación por JWT propio (</w:t>
      </w:r>
      <w:r>
        <w:rPr>
          <w:rStyle w:val="CodeChar"/>
        </w:rPr>
        <w:t xml:space="preserve">backend/libs/JWT.php</w:t>
      </w:r>
      <w:r>
        <w:t xml:space="preserve"> + </w:t>
      </w:r>
      <w:r>
        <w:rPr>
          <w:rStyle w:val="CodeChar"/>
        </w:rPr>
        <w:t xml:space="preserve">auth.php</w:t>
      </w:r>
      <w:r>
        <w:t xml:space="preserve">).</w:t>
      </w:r>
    </w:p>
    <w:p>
      <w:pPr>
        <w:pStyle w:val="ListParagraph"/>
        <w:numPr>
          <w:ilvl w:val="0"/>
          <w:numId w:val="9"/>
        </w:numPr>
      </w:pPr>
      <w:r>
        <w:rPr>
          <w:b/>
        </w:rPr>
        <w:t xml:space="preserve">Base de datos:</w:t>
      </w:r>
      <w:r>
        <w:t xml:space="preserve"> MySQL (</w:t>
      </w:r>
      <w:r>
        <w:rPr>
          <w:rStyle w:val="CodeChar"/>
        </w:rPr>
        <w:t xml:space="preserve">oficina_juridica</w:t>
      </w:r>
      <w:r>
        <w:t xml:space="preserve">), 16 tablas (procesos, clientes, actuaciones, anexos, honorarios, catálogos, etc.).</w:t>
      </w:r>
    </w:p>
    <w:p>
      <w:pPr>
        <w:pStyle w:val="ListParagraph"/>
        <w:numPr>
          <w:ilvl w:val="0"/>
          <w:numId w:val="9"/>
        </w:numPr>
      </w:pPr>
      <w:r>
        <w:rPr>
          <w:b/>
        </w:rPr>
        <w:t xml:space="preserve">Rama Judicial:</w:t>
      </w:r>
      <w:r>
        <w:t xml:space="preserve"> se consulta por HTTP directo (API pública), sin pasar por el microservicio Node.</w:t>
      </w:r>
    </w:p>
    <w:p>
      <w:pPr>
        <w:pStyle w:val="ListParagraph"/>
        <w:numPr>
          <w:ilvl w:val="0"/>
          <w:numId w:val="9"/>
        </w:numPr>
      </w:pPr>
      <w:r>
        <w:rPr>
          <w:b/>
        </w:rPr>
        <w:t xml:space="preserve">samai-service:</w:t>
      </w:r>
      <w:r>
        <w:t xml:space="preserve"> microservicio aparte en Node.js + Playwright (</w:t>
      </w:r>
      <w:r>
        <w:rPr>
          <w:rStyle w:val="CodeChar"/>
        </w:rPr>
        <w:t xml:space="preserve">samai-service/server.js</w:t>
      </w:r>
      <w:r>
        <w:t xml:space="preserve">) que simula la navegación real en los portales SAMAI y TYBA (no tienen API pública) y expone endpoints HTTP internos que el backend PHP consume.</w:t>
      </w:r>
    </w:p>
    <w:p>
      <w:pPr>
        <w:pStyle w:val="ListParagraph"/>
        <w:numPr>
          <w:ilvl w:val="0"/>
          <w:numId w:val="9"/>
        </w:numPr>
      </w:pPr>
      <w:r>
        <w:rPr>
          <w:b/>
        </w:rPr>
        <w:t xml:space="preserve">Notificaciones:</w:t>
      </w:r>
      <w:r>
        <w:t xml:space="preserve"> </w:t>
      </w:r>
      <w:r>
        <w:rPr>
          <w:rStyle w:val="CodeChar"/>
        </w:rPr>
        <w:t xml:space="preserve">NotificacionService</w:t>
      </w:r>
      <w:r>
        <w:t xml:space="preserve"> envía email vía PHPMailer; SMS y WhatsApp vía Twilio (opcional — solo se activa si las credenciales están configuradas).</w:t>
      </w:r>
    </w:p>
    <w:p>
      <w:pPr>
        <w:pStyle w:val="ListParagraph"/>
        <w:numPr>
          <w:ilvl w:val="0"/>
          <w:numId w:val="9"/>
        </w:numPr>
      </w:pPr>
      <w:r>
        <w:rPr>
          <w:b/>
        </w:rPr>
        <w:t xml:space="preserve">Entorno actual:</w:t>
      </w:r>
      <w:r>
        <w:t xml:space="preserve"> todo corre local sobre XAMPP (Apache + PHP + MySQL) y Node.js aparte para </w:t>
      </w:r>
      <w:r>
        <w:rPr>
          <w:rStyle w:val="CodeChar"/>
        </w:rPr>
        <w:t xml:space="preserve">samai-service</w:t>
      </w:r>
      <w:r>
        <w:t xml:space="preserve">; aún no hay despliegue en un servidor web público (ver sección 11).</w:t>
      </w:r>
    </w:p>
    <w:p>
      <w:pPr>
        <w:pStyle w:val="Heading2"/>
      </w:pPr>
      <w:r>
        <w:t xml:space="preserve">8. Modelo conceptual de datos</w:t>
      </w:r>
    </w:p>
    <w:p>
      <w:pPr/>
      <w:r>
        <w:t xml:space="preserve">16 tablas principales en MySQL (</w:t>
      </w:r>
      <w:r>
        <w:rPr>
          <w:rStyle w:val="CodeChar"/>
        </w:rPr>
        <w:t xml:space="preserve">oficina_juridica</w:t>
      </w:r>
      <w:r>
        <w:t xml:space="preserve">). Las entidades centrales y cómo se relacionan: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Entidad</w:t>
            </w:r>
          </w:p>
        </w:tc>
        <w:tc>
          <w:tcPr>
            <w:tcW w:w="3120" w:type="dxa"/>
            <w:shd w:val="clear" w:color="auto" w:fill="F2F2F2"/>
          </w:tcPr>
          <w:p>
            <w:pPr/>
            <w:r>
              <w:t xml:space="preserve">Se relaciona con</w:t>
            </w:r>
          </w:p>
        </w:tc>
        <w:tc>
          <w:tcPr>
            <w:tcW w:w="3120" w:type="dxa"/>
            <w:shd w:val="clear" w:color="auto" w:fill="F2F2F2"/>
          </w:tcPr>
          <w:p>
            <w:pPr/>
            <w:r>
              <w:t xml:space="preserve">Relación</w:t>
            </w:r>
          </w:p>
        </w:tc>
      </w:tr>
      <w:tr>
        <w:tc>
          <w:tcPr>
            <w:tcW w:w="3120" w:type="dxa"/>
          </w:tcPr>
          <w:p>
            <w:pPr/>
            <w:r>
              <w:rPr>
                <w:rStyle w:val="CodeChar"/>
              </w:rPr>
              <w:t xml:space="preserve">procesos</w:t>
            </w:r>
          </w:p>
        </w:tc>
        <w:tc>
          <w:tcPr>
            <w:tcW w:w="3120" w:type="dxa"/>
          </w:tcPr>
          <w:p>
            <w:pPr/>
            <w:r>
              <w:rPr>
                <w:rStyle w:val="CodeChar"/>
              </w:rPr>
              <w:t xml:space="preserve">clientes</w:t>
            </w:r>
          </w:p>
        </w:tc>
        <w:tc>
          <w:tcPr>
            <w:tcW w:w="3120" w:type="dxa"/>
          </w:tcPr>
          <w:p>
            <w:pPr/>
            <w:r>
              <w:t xml:space="preserve">Un proceso pertenece a un cliente</w:t>
            </w:r>
          </w:p>
        </w:tc>
      </w:tr>
      <w:tr>
        <w:tc>
          <w:tcPr>
            <w:tcW w:w="3120" w:type="dxa"/>
          </w:tcPr>
          <w:p>
            <w:pPr/>
            <w:r>
              <w:rPr>
                <w:rStyle w:val="CodeChar"/>
              </w:rPr>
              <w:t xml:space="preserve">procesos</w:t>
            </w:r>
          </w:p>
        </w:tc>
        <w:tc>
          <w:tcPr>
            <w:tcW w:w="3120" w:type="dxa"/>
          </w:tcPr>
          <w:p>
            <w:pPr/>
            <w:r>
              <w:rPr>
                <w:rStyle w:val="CodeChar"/>
              </w:rPr>
              <w:t xml:space="preserve">tipos_proceso</w:t>
            </w:r>
            <w:r>
              <w:t xml:space="preserve">, </w:t>
            </w:r>
            <w:r>
              <w:rPr>
                <w:rStyle w:val="CodeChar"/>
              </w:rPr>
              <w:t xml:space="preserve">estados_proceso</w:t>
            </w:r>
          </w:p>
        </w:tc>
        <w:tc>
          <w:tcPr>
            <w:tcW w:w="3120" w:type="dxa"/>
          </w:tcPr>
          <w:p>
            <w:pPr/>
            <w:r>
              <w:t xml:space="preserve">Cada proceso tiene un tipo y un estado (catálogos)</w:t>
            </w:r>
          </w:p>
        </w:tc>
      </w:tr>
      <w:tr>
        <w:tc>
          <w:tcPr>
            <w:tcW w:w="3120" w:type="dxa"/>
          </w:tcPr>
          <w:p>
            <w:pPr/>
            <w:r>
              <w:rPr>
                <w:rStyle w:val="CodeChar"/>
              </w:rPr>
              <w:t xml:space="preserve">procesos</w:t>
            </w:r>
          </w:p>
        </w:tc>
        <w:tc>
          <w:tcPr>
            <w:tcW w:w="3120" w:type="dxa"/>
          </w:tcPr>
          <w:p>
            <w:pPr/>
            <w:r>
              <w:rPr>
                <w:rStyle w:val="CodeChar"/>
              </w:rPr>
              <w:t xml:space="preserve">departamentos</w:t>
            </w:r>
            <w:r>
              <w:t xml:space="preserve">, </w:t>
            </w:r>
            <w:r>
              <w:rPr>
                <w:rStyle w:val="CodeChar"/>
              </w:rPr>
              <w:t xml:space="preserve">municipios</w:t>
            </w:r>
            <w:r>
              <w:t xml:space="preserve">, </w:t>
            </w:r>
            <w:r>
              <w:rPr>
                <w:rStyle w:val="CodeChar"/>
              </w:rPr>
              <w:t xml:space="preserve">despachos</w:t>
            </w:r>
            <w:r>
              <w:t xml:space="preserve">, </w:t>
            </w:r>
            <w:r>
              <w:rPr>
                <w:rStyle w:val="CodeChar"/>
              </w:rPr>
              <w:t xml:space="preserve">entidades</w:t>
            </w:r>
          </w:p>
        </w:tc>
        <w:tc>
          <w:tcPr>
            <w:tcW w:w="3120" w:type="dxa"/>
          </w:tcPr>
          <w:p>
            <w:pPr/>
            <w:r>
              <w:t xml:space="preserve">Ubicación y despacho judicial del proceso (catálogos)</w:t>
            </w:r>
          </w:p>
        </w:tc>
      </w:tr>
      <w:tr>
        <w:tc>
          <w:tcPr>
            <w:tcW w:w="3120" w:type="dxa"/>
          </w:tcPr>
          <w:p>
            <w:pPr/>
            <w:r>
              <w:rPr>
                <w:rStyle w:val="CodeChar"/>
              </w:rPr>
              <w:t xml:space="preserve">actuaciones</w:t>
            </w:r>
          </w:p>
        </w:tc>
        <w:tc>
          <w:tcPr>
            <w:tcW w:w="3120" w:type="dxa"/>
          </w:tcPr>
          <w:p>
            <w:pPr/>
            <w:r>
              <w:rPr>
                <w:rStyle w:val="CodeChar"/>
              </w:rPr>
              <w:t xml:space="preserve">procesos</w:t>
            </w:r>
          </w:p>
        </w:tc>
        <w:tc>
          <w:tcPr>
            <w:tcW w:w="3120" w:type="dxa"/>
          </w:tcPr>
          <w:p>
            <w:pPr/>
            <w:r>
              <w:t xml:space="preserve">Cada actuación pertenece a un proceso; identificada por (proceso, id del portal, despacho) para evitar duplicados</w:t>
            </w:r>
          </w:p>
        </w:tc>
      </w:tr>
      <w:tr>
        <w:tc>
          <w:tcPr>
            <w:tcW w:w="3120" w:type="dxa"/>
          </w:tcPr>
          <w:p>
            <w:pPr/>
            <w:r>
              <w:rPr>
                <w:rStyle w:val="CodeChar"/>
              </w:rPr>
              <w:t xml:space="preserve">anexos</w:t>
            </w:r>
          </w:p>
        </w:tc>
        <w:tc>
          <w:tcPr>
            <w:tcW w:w="3120" w:type="dxa"/>
          </w:tcPr>
          <w:p>
            <w:pPr/>
            <w:r>
              <w:rPr>
                <w:rStyle w:val="CodeChar"/>
              </w:rPr>
              <w:t xml:space="preserve">procesos</w:t>
            </w:r>
            <w:r>
              <w:t xml:space="preserve">, </w:t>
            </w:r>
            <w:r>
              <w:rPr>
                <w:rStyle w:val="CodeChar"/>
              </w:rPr>
              <w:t xml:space="preserve">actuaciones</w:t>
            </w:r>
          </w:p>
        </w:tc>
        <w:tc>
          <w:tcPr>
            <w:tcW w:w="3120" w:type="dxa"/>
          </w:tcPr>
          <w:p>
            <w:pPr/>
            <w:r>
              <w:t xml:space="preserve">Un anexo pertenece a un proceso y, opcionalmente, a una actuación específica</w:t>
            </w:r>
          </w:p>
        </w:tc>
      </w:tr>
      <w:tr>
        <w:tc>
          <w:tcPr>
            <w:tcW w:w="3120" w:type="dxa"/>
          </w:tcPr>
          <w:p>
            <w:pPr/>
            <w:r>
              <w:rPr>
                <w:rStyle w:val="CodeChar"/>
              </w:rPr>
              <w:t xml:space="preserve">honorarios</w:t>
            </w:r>
          </w:p>
        </w:tc>
        <w:tc>
          <w:tcPr>
            <w:tcW w:w="3120" w:type="dxa"/>
          </w:tcPr>
          <w:p>
            <w:pPr/>
            <w:r>
              <w:rPr>
                <w:rStyle w:val="CodeChar"/>
              </w:rPr>
              <w:t xml:space="preserve">procesos</w:t>
            </w:r>
          </w:p>
        </w:tc>
        <w:tc>
          <w:tcPr>
            <w:tcW w:w="3120" w:type="dxa"/>
          </w:tcPr>
          <w:p>
            <w:pPr/>
            <w:r>
              <w:t xml:space="preserve">Cada honorario (cobro/pago) pertenece a un proceso</w:t>
            </w:r>
          </w:p>
        </w:tc>
      </w:tr>
      <w:tr>
        <w:tc>
          <w:tcPr>
            <w:tcW w:w="3120" w:type="dxa"/>
          </w:tcPr>
          <w:p>
            <w:pPr/>
            <w:r>
              <w:rPr>
                <w:rStyle w:val="CodeChar"/>
              </w:rPr>
              <w:t xml:space="preserve">notificaciones_config</w:t>
            </w:r>
          </w:p>
        </w:tc>
        <w:tc>
          <w:tcPr>
            <w:tcW w:w="3120" w:type="dxa"/>
          </w:tcPr>
          <w:p>
            <w:pPr/>
            <w:r>
              <w:rPr>
                <w:rStyle w:val="CodeChar"/>
              </w:rPr>
              <w:t xml:space="preserve">usuarios</w:t>
            </w:r>
          </w:p>
        </w:tc>
        <w:tc>
          <w:tcPr>
            <w:tcW w:w="3120" w:type="dxa"/>
          </w:tcPr>
          <w:p>
            <w:pPr/>
            <w:r>
              <w:t xml:space="preserve">Preferencias de canal de notificación por usuario</w:t>
            </w:r>
          </w:p>
        </w:tc>
      </w:tr>
      <w:tr>
        <w:tc>
          <w:tcPr>
            <w:tcW w:w="3120" w:type="dxa"/>
          </w:tcPr>
          <w:p>
            <w:pPr/>
            <w:r>
              <w:rPr>
                <w:rStyle w:val="CodeChar"/>
              </w:rPr>
              <w:t xml:space="preserve">notificaciones_log</w:t>
            </w:r>
          </w:p>
        </w:tc>
        <w:tc>
          <w:tcPr>
            <w:tcW w:w="3120" w:type="dxa"/>
          </w:tcPr>
          <w:p>
            <w:pPr/>
            <w:r>
              <w:rPr>
                <w:rStyle w:val="CodeChar"/>
              </w:rPr>
              <w:t xml:space="preserve">procesos</w:t>
            </w:r>
            <w:r>
              <w:t xml:space="preserve">, </w:t>
            </w:r>
            <w:r>
              <w:rPr>
                <w:rStyle w:val="CodeChar"/>
              </w:rPr>
              <w:t xml:space="preserve">actuaciones</w:t>
            </w:r>
          </w:p>
        </w:tc>
        <w:tc>
          <w:tcPr>
            <w:tcW w:w="3120" w:type="dxa"/>
          </w:tcPr>
          <w:p>
            <w:pPr/>
            <w:r>
              <w:t xml:space="preserve">Historial de notificaciones enviadas</w:t>
            </w:r>
          </w:p>
        </w:tc>
      </w:tr>
      <w:tr>
        <w:tc>
          <w:tcPr>
            <w:tcW w:w="3120" w:type="dxa"/>
          </w:tcPr>
          <w:p>
            <w:pPr/>
            <w:r>
              <w:rPr>
                <w:rStyle w:val="CodeChar"/>
              </w:rPr>
              <w:t xml:space="preserve">usuarios</w:t>
            </w:r>
          </w:p>
        </w:tc>
        <w:tc>
          <w:tcPr>
            <w:tcW w:w="3120" w:type="dxa"/>
          </w:tcPr>
          <w:p>
            <w:pPr/>
            <w:r>
              <w:t xml:space="preserve">—</w:t>
            </w:r>
          </w:p>
        </w:tc>
        <w:tc>
          <w:tcPr>
            <w:tcW w:w="3120" w:type="dxa"/>
          </w:tcPr>
          <w:p>
            <w:pPr/>
            <w:r>
              <w:t xml:space="preserve">Cuentas del sistema; sin tabla de roles (ver sección 9)</w:t>
            </w:r>
          </w:p>
        </w:tc>
      </w:tr>
    </w:tbl>
    <w:p>
      <w:pPr/>
      <w:r>
        <w:rPr>
          <w:b/>
        </w:rPr>
        <w:t xml:space="preserve">Campo clave:</w:t>
      </w:r>
      <w:r>
        <w:t xml:space="preserve"> </w:t>
      </w:r>
      <w:r>
        <w:rPr>
          <w:rStyle w:val="CodeChar"/>
        </w:rPr>
        <w:t xml:space="preserve">procesos.fuente_consulta</w:t>
      </w:r>
      <w:r>
        <w:t xml:space="preserve"> (rama / samai / tyba / penal / ninguna) determina qué portal se usa para sincronizar ese proceso — es el campo que conecta el modelo de datos con el flujo de sincronización descrito en las secciones 5 y 7.</w:t>
      </w:r>
    </w:p>
    <w:p>
      <w:pPr/>
      <w:r>
        <w:t xml:space="preserve">El detalle completo de columnas y tipos está en </w:t>
      </w:r>
      <w:r>
        <w:rPr>
          <w:rStyle w:val="CodeChar"/>
        </w:rPr>
        <w:t xml:space="preserve">bd/oficina_juridica.sql</w:t>
      </w:r>
      <w:r>
        <w:t xml:space="preserve"> (script de creación de la base de datos).</w:t>
      </w:r>
    </w:p>
    <w:p>
      <w:pPr>
        <w:pStyle w:val="Heading2"/>
      </w:pPr>
      <w:r>
        <w:t xml:space="preserve">9. Seguridad y permisos</w:t>
      </w:r>
    </w:p>
    <w:p>
      <w:pPr>
        <w:pStyle w:val="ListParagraph"/>
        <w:numPr>
          <w:ilvl w:val="0"/>
          <w:numId w:val="10"/>
        </w:numPr>
      </w:pPr>
      <w:r>
        <w:rPr>
          <w:b/>
        </w:rPr>
        <w:t xml:space="preserve">Autenticación:</w:t>
      </w:r>
      <w:r>
        <w:t xml:space="preserve"> JWT propio (</w:t>
      </w:r>
      <w:r>
        <w:rPr>
          <w:rStyle w:val="CodeChar"/>
        </w:rPr>
        <w:t xml:space="preserve">backend/libs/JWT.php</w:t>
      </w:r>
      <w:r>
        <w:t xml:space="preserve"> + </w:t>
      </w:r>
      <w:r>
        <w:rPr>
          <w:rStyle w:val="CodeChar"/>
        </w:rPr>
        <w:t xml:space="preserve">auth.php</w:t>
      </w:r>
      <w:r>
        <w:t xml:space="preserve">). Toda petición a un controlador pasa por </w:t>
      </w:r>
      <w:r>
        <w:rPr>
          <w:rStyle w:val="CodeChar"/>
        </w:rPr>
        <w:t xml:space="preserve">verificarToken()</w:t>
      </w:r>
      <w:r>
        <w:t xml:space="preserve">, que exige un header </w:t>
      </w:r>
      <w:r>
        <w:rPr>
          <w:rStyle w:val="CodeChar"/>
        </w:rPr>
        <w:t xml:space="preserve">Authorization: Bearer &lt;token&gt;</w:t>
      </w:r>
      <w:r>
        <w:t xml:space="preserve"> válido y no expirado; si falta o es inválido, responde 401 antes de ejecutar cualquier lógica.</w:t>
      </w:r>
    </w:p>
    <w:p>
      <w:pPr>
        <w:pStyle w:val="ListParagraph"/>
        <w:numPr>
          <w:ilvl w:val="0"/>
          <w:numId w:val="10"/>
        </w:numPr>
      </w:pPr>
      <w:r>
        <w:rPr>
          <w:b/>
        </w:rPr>
        <w:t xml:space="preserve">Autorización:</w:t>
      </w:r>
      <w:r>
        <w:t xml:space="preserve"> no hay roles ni permisos granulares en la base de datos — todo usuario autenticado tiene el mismo nivel de acceso a todos los módulos. "Administrador" es hoy una convención operativa de la oficina (quién resetea contraseñas de otros usuarios), no un campo o rol en el sistema.</w:t>
      </w:r>
    </w:p>
    <w:p>
      <w:pPr>
        <w:pStyle w:val="ListParagraph"/>
        <w:numPr>
          <w:ilvl w:val="0"/>
          <w:numId w:val="10"/>
        </w:numPr>
      </w:pPr>
      <w:r>
        <w:rPr>
          <w:b/>
        </w:rPr>
        <w:t xml:space="preserve">Endpoint especial:</w:t>
      </w:r>
      <w:r>
        <w:t xml:space="preserve"> </w:t>
      </w:r>
      <w:r>
        <w:rPr>
          <w:rStyle w:val="CodeChar"/>
        </w:rPr>
        <w:t xml:space="preserve">reporte_proceso.php</w:t>
      </w:r>
      <w:r>
        <w:t xml:space="preserve"> (generación de PDF) recibe el token por query string (</w:t>
      </w:r>
      <w:r>
        <w:rPr>
          <w:rStyle w:val="CodeChar"/>
        </w:rPr>
        <w:t xml:space="preserve">?token=</w:t>
      </w:r>
      <w:r>
        <w:t xml:space="preserve">) en lugar de header, porque se abre directo en una pestaña del navegador — documentado aparte en el OpenAPI (</w:t>
      </w:r>
      <w:r>
        <w:rPr>
          <w:rStyle w:val="CodeChar"/>
        </w:rPr>
        <w:t xml:space="preserve">tokenQuery</w:t>
      </w:r>
      <w:r>
        <w:t xml:space="preserve">).</w:t>
      </w:r>
    </w:p>
    <w:p>
      <w:pPr>
        <w:pStyle w:val="ListParagraph"/>
        <w:numPr>
          <w:ilvl w:val="0"/>
          <w:numId w:val="10"/>
        </w:numPr>
      </w:pPr>
      <w:r>
        <w:rPr>
          <w:b/>
        </w:rPr>
        <w:t xml:space="preserve">Auditado y corregido en esta ronda de trabajo:</w:t>
      </w:r>
      <w:r>
        <w:t xml:space="preserve"> se revisaron los 21 controladores para confirmar que todos exigen token antes de responder (se encontró y corrigió un caso — </w:t>
      </w:r>
      <w:r>
        <w:rPr>
          <w:rStyle w:val="CodeChar"/>
        </w:rPr>
        <w:t xml:space="preserve">ClienteController.php</w:t>
      </w:r>
      <w:r>
        <w:t xml:space="preserve"> — que tenía la validación comentada).</w:t>
      </w:r>
    </w:p>
    <w:p>
      <w:pPr>
        <w:pStyle w:val="ListParagraph"/>
        <w:numPr>
          <w:ilvl w:val="0"/>
          <w:numId w:val="10"/>
        </w:numPr>
      </w:pPr>
      <w:r>
        <w:rPr>
          <w:b/>
        </w:rPr>
        <w:t xml:space="preserve">Pendiente / riesgo conocido:</w:t>
      </w:r>
      <w:r>
        <w:t xml:space="preserve"> sin roles, cualquier usuario autenticado puede ver y modificar cualquier proceso, incluidos los marcados como privados (el flag </w:t>
      </w:r>
      <w:r>
        <w:rPr>
          <w:rStyle w:val="CodeChar"/>
        </w:rPr>
        <w:t xml:space="preserve">es_privado</w:t>
      </w:r>
      <w:r>
        <w:t xml:space="preserve"> controla qué se muestra en reportes/listados, no quién puede acceder). Si en el futuro se necesita restringir por usuario u oficina, hay que diseñar un modelo de roles desde cero.</w:t>
      </w:r>
    </w:p>
    <w:p>
      <w:pPr>
        <w:pStyle w:val="Heading2"/>
      </w:pPr>
      <w:r>
        <w:t xml:space="preserve">10. Aspectos relevantes para QA</w:t>
      </w:r>
    </w:p>
    <w:p>
      <w:pPr/>
      <w:r>
        <w:rPr>
          <w:b/>
        </w:rPr>
        <w:t xml:space="preserve">Escenarios críticos a probar:</w:t>
      </w:r>
    </w:p>
    <w:p>
      <w:pPr>
        <w:pStyle w:val="ListParagraph"/>
        <w:numPr>
          <w:ilvl w:val="0"/>
          <w:numId w:val="11"/>
        </w:numPr>
      </w:pPr>
      <w:r>
        <w:t xml:space="preserve">Sincronizar un proceso sin radicado → debe omitirse limpiamente (sin error visible al usuario), tanto manual como por cron.</w:t>
      </w:r>
    </w:p>
    <w:p>
      <w:pPr>
        <w:pStyle w:val="ListParagraph"/>
        <w:numPr>
          <w:ilvl w:val="0"/>
          <w:numId w:val="11"/>
        </w:numPr>
      </w:pPr>
      <w:r>
        <w:t xml:space="preserve">Sincronizar dos veces seguidas el mismo proceso → no debe duplicar actuaciones ni reenviar notificaciones de lo ya existente.</w:t>
      </w:r>
    </w:p>
    <w:p>
      <w:pPr>
        <w:pStyle w:val="ListParagraph"/>
        <w:numPr>
          <w:ilvl w:val="0"/>
          <w:numId w:val="11"/>
        </w:numPr>
      </w:pPr>
      <w:r>
        <w:t xml:space="preserve">El servicio Node (</w:t>
      </w:r>
      <w:r>
        <w:rPr>
          <w:rStyle w:val="CodeChar"/>
        </w:rPr>
        <w:t xml:space="preserve">samai-service</w:t>
      </w:r>
      <w:r>
        <w:t xml:space="preserve">) caído mientras se sincroniza un proceso SAMAI/TYBA → debe dar un mensaje de error claro, sin tumbar el resto del sistema ni los demás portales (ver flujo B, sección 5).</w:t>
      </w:r>
    </w:p>
    <w:p>
      <w:pPr>
        <w:pStyle w:val="ListParagraph"/>
        <w:numPr>
          <w:ilvl w:val="0"/>
          <w:numId w:val="11"/>
        </w:numPr>
      </w:pPr>
      <w:r>
        <w:t xml:space="preserve">Una actuación que llega del portal sin </w:t>
      </w:r>
      <w:r>
        <w:rPr>
          <w:rStyle w:val="CodeChar"/>
        </w:rPr>
        <w:t xml:space="preserve">id</w:t>
      </w:r>
      <w:r>
        <w:t xml:space="preserve"> o sin </w:t>
      </w:r>
      <w:r>
        <w:rPr>
          <w:rStyle w:val="CodeChar"/>
        </w:rPr>
        <w:t xml:space="preserve">fecha</w:t>
      </w:r>
      <w:r>
        <w:t xml:space="preserve"> → debe descartarse sin romper el resto del lote.</w:t>
      </w:r>
    </w:p>
    <w:p>
      <w:pPr>
        <w:pStyle w:val="ListParagraph"/>
        <w:numPr>
          <w:ilvl w:val="0"/>
          <w:numId w:val="11"/>
        </w:numPr>
      </w:pPr>
      <w:r>
        <w:t xml:space="preserve">Cambiar el portal de consulta de un proceso ya existente → la próxima sincronización debe usar el nuevo portal, sin mezclar datos del anterior.</w:t>
      </w:r>
    </w:p>
    <w:p>
      <w:pPr/>
      <w:r>
        <w:rPr>
          <w:b/>
        </w:rPr>
        <w:t xml:space="preserve">Áreas de riesgo (frágiles por naturaleza):</w:t>
      </w:r>
    </w:p>
    <w:p>
      <w:pPr>
        <w:pStyle w:val="ListParagraph"/>
        <w:numPr>
          <w:ilvl w:val="0"/>
          <w:numId w:val="12"/>
        </w:numPr>
      </w:pPr>
      <w:r>
        <w:t xml:space="preserve">Los tres scrapers (Rama, SAMAI, TYBA) dependen de que el portal externo no cambie su HTML/estructura — un cambio del lado del portal puede romper la sincronización sin que haya un bug en este código. Vale la pena una prueba periódica de "¿el endpoint responde con la forma de JSON esperada?" (ver plan de pruebas automáticas, pendiente).</w:t>
      </w:r>
    </w:p>
    <w:p>
      <w:pPr>
        <w:pStyle w:val="ListParagraph"/>
        <w:numPr>
          <w:ilvl w:val="0"/>
          <w:numId w:val="12"/>
        </w:numPr>
      </w:pPr>
      <w:r>
        <w:t xml:space="preserve">El aviso persistente con contador de documentos depende de que PHP (via </w:t>
      </w:r>
      <w:r>
        <w:rPr>
          <w:rStyle w:val="CodeChar"/>
        </w:rPr>
        <w:t xml:space="preserve">curl</w:t>
      </w:r>
      <w:r>
        <w:t xml:space="preserve">) y el proceso Node escriban al mismo archivo de estado sin pisarse — probar con sincronizaciones simultáneas de distintos procesos.</w:t>
      </w:r>
    </w:p>
    <w:p>
      <w:pPr>
        <w:pStyle w:val="ListParagraph"/>
        <w:numPr>
          <w:ilvl w:val="0"/>
          <w:numId w:val="12"/>
        </w:numPr>
      </w:pPr>
      <w:r>
        <w:t xml:space="preserve">Notificaciones: un fallo de Twilio o del SMTP no debe impedir que la actuación quede guardada (son pasos independientes, ver sección 6).</w:t>
      </w:r>
    </w:p>
    <w:p>
      <w:pPr/>
      <w:r>
        <w:rPr>
          <w:b/>
        </w:rPr>
        <w:t xml:space="preserve">Comportamiento esperado documentado en detalle:</w:t>
      </w:r>
    </w:p>
    <w:p>
      <w:pPr>
        <w:pStyle w:val="ListParagraph"/>
        <w:numPr>
          <w:ilvl w:val="0"/>
          <w:numId w:val="13"/>
        </w:numPr>
      </w:pPr>
      <w:r>
        <w:t xml:space="preserve">Por endpoint (parámetros, respuestas, códigos): </w:t>
      </w:r>
      <w:r>
        <w:rPr>
          <w:rStyle w:val="CodeChar"/>
        </w:rPr>
        <w:t xml:space="preserve">docs/openapi.yaml</w:t>
      </w:r>
      <w:r>
        <w:t xml:space="preserve"> / </w:t>
      </w:r>
      <w:r>
        <w:rPr>
          <w:rStyle w:val="CodeChar"/>
        </w:rPr>
        <w:t xml:space="preserve">docs/index.html</w:t>
      </w:r>
      <w:r>
        <w:t xml:space="preserve">.</w:t>
      </w:r>
    </w:p>
    <w:p>
      <w:pPr>
        <w:pStyle w:val="ListParagraph"/>
        <w:numPr>
          <w:ilvl w:val="0"/>
          <w:numId w:val="13"/>
        </w:numPr>
      </w:pPr>
      <w:r>
        <w:t xml:space="preserve">Por pantalla (qué debería ver y poder hacer el usuario): el manual de usuario (doc separado).</w:t>
      </w:r>
    </w:p>
    <w:p>
      <w:pPr>
        <w:pStyle w:val="Heading2"/>
      </w:pPr>
      <w:r>
        <w:t xml:space="preserve">11. Despliegue y operación</w:t>
      </w:r>
    </w:p>
    <w:p>
      <w:pPr/>
      <w:r>
        <w:rPr>
          <w:b/>
        </w:rPr>
        <w:t xml:space="preserve">Entorno actual (único, hoy):</w:t>
      </w:r>
      <w:r>
        <w:t xml:space="preserve"> local, sobre XAMPP (Apache + PHP + MySQL) en la máquina de la oficina, más un proceso Node.js aparte (</w:t>
      </w:r>
      <w:r>
        <w:rPr>
          <w:rStyle w:val="CodeChar"/>
        </w:rPr>
        <w:t xml:space="preserve">samai-service</w:t>
      </w:r>
      <w:r>
        <w:t xml:space="preserve">) corriendo en </w:t>
      </w:r>
      <w:r>
        <w:rPr>
          <w:rStyle w:val="CodeChar"/>
        </w:rPr>
        <w:t xml:space="preserve">localhost:3001</w:t>
      </w:r>
      <w:r>
        <w:t xml:space="preserve">. No hay ambientes separados de desarrollo/pruebas/producción todavía — es el mismo donde se trabaja y donde se usa en el día a día.</w:t>
      </w:r>
    </w:p>
    <w:p>
      <w:pPr/>
      <w:r>
        <w:rPr>
          <w:b/>
        </w:rPr>
        <w:t xml:space="preserve">Dependencias para levantar el sistema:</w:t>
      </w:r>
    </w:p>
    <w:p>
      <w:pPr>
        <w:pStyle w:val="ListParagraph"/>
        <w:numPr>
          <w:ilvl w:val="0"/>
          <w:numId w:val="14"/>
        </w:numPr>
      </w:pPr>
      <w:r>
        <w:t xml:space="preserve">PHP 7.4+ con PDO/MySQL, Apache (XAMPP cubre ambos).</w:t>
      </w:r>
    </w:p>
    <w:p>
      <w:pPr>
        <w:pStyle w:val="ListParagraph"/>
        <w:numPr>
          <w:ilvl w:val="0"/>
          <w:numId w:val="14"/>
        </w:numPr>
      </w:pPr>
      <w:r>
        <w:t xml:space="preserve">MySQL con la base </w:t>
      </w:r>
      <w:r>
        <w:rPr>
          <w:rStyle w:val="CodeChar"/>
        </w:rPr>
        <w:t xml:space="preserve">oficina_juridica</w:t>
      </w:r>
      <w:r>
        <w:t xml:space="preserve"> (script en </w:t>
      </w:r>
      <w:r>
        <w:rPr>
          <w:rStyle w:val="CodeChar"/>
        </w:rPr>
        <w:t xml:space="preserve">bd/oficina_juridica.sql</w:t>
      </w:r>
      <w:r>
        <w:t xml:space="preserve">).</w:t>
      </w:r>
    </w:p>
    <w:p>
      <w:pPr>
        <w:pStyle w:val="ListParagraph"/>
        <w:numPr>
          <w:ilvl w:val="0"/>
          <w:numId w:val="14"/>
        </w:numPr>
      </w:pPr>
      <w:r>
        <w:t xml:space="preserve">Composer: </w:t>
      </w:r>
      <w:r>
        <w:rPr>
          <w:rStyle w:val="CodeChar"/>
        </w:rPr>
        <w:t xml:space="preserve">phpmailer/phpmailer</w:t>
      </w:r>
      <w:r>
        <w:t xml:space="preserve"> (envío de email).</w:t>
      </w:r>
    </w:p>
    <w:p>
      <w:pPr>
        <w:pStyle w:val="ListParagraph"/>
        <w:numPr>
          <w:ilvl w:val="0"/>
          <w:numId w:val="14"/>
        </w:numPr>
      </w:pPr>
      <w:r>
        <w:t xml:space="preserve">Node.js + </w:t>
      </w:r>
      <w:r>
        <w:rPr>
          <w:rStyle w:val="CodeChar"/>
        </w:rPr>
        <w:t xml:space="preserve">npm install</w:t>
      </w:r>
      <w:r>
        <w:t xml:space="preserve"> dentro de </w:t>
      </w:r>
      <w:r>
        <w:rPr>
          <w:rStyle w:val="CodeChar"/>
        </w:rPr>
        <w:t xml:space="preserve">samai-service/</w:t>
      </w:r>
      <w:r>
        <w:t xml:space="preserve"> (Express + Playwright) — Playwright necesita sus navegadores instalados (</w:t>
      </w:r>
      <w:r>
        <w:rPr>
          <w:rStyle w:val="CodeChar"/>
        </w:rPr>
        <w:t xml:space="preserve">playwright install</w:t>
      </w:r>
      <w:r>
        <w:t xml:space="preserve">) para poder simular la navegación en SAMAI/TYBA.</w:t>
      </w:r>
    </w:p>
    <w:p>
      <w:pPr>
        <w:pStyle w:val="ListParagraph"/>
        <w:numPr>
          <w:ilvl w:val="0"/>
          <w:numId w:val="14"/>
        </w:numPr>
      </w:pPr>
      <w:r>
        <w:t xml:space="preserve">Credenciales opcionales: Twilio (SMS/WhatsApp) — si no están configuradas, esos canales simplemente no se usan, el resto del sistema sigue funcionando.</w:t>
      </w:r>
    </w:p>
    <w:p>
      <w:pPr/>
      <w:r>
        <w:rPr>
          <w:b/>
        </w:rPr>
        <w:t xml:space="preserve">Tareas programadas:</w:t>
      </w:r>
      <w:r>
        <w:t xml:space="preserve"> el cron (</w:t>
      </w:r>
      <w:r>
        <w:rPr>
          <w:rStyle w:val="CodeChar"/>
        </w:rPr>
        <w:t xml:space="preserve">backend/cron/sincronizar_actuaciones.php</w:t>
      </w:r>
      <w:r>
        <w:t xml:space="preserve">) debe programarse aparte (Tareas Programadas de Windows o </w:t>
      </w:r>
      <w:r>
        <w:rPr>
          <w:rStyle w:val="CodeChar"/>
        </w:rPr>
        <w:t xml:space="preserve">cron</w:t>
      </w:r>
      <w:r>
        <w:t xml:space="preserve"> de Linux, según el servidor) — no corre solo.</w:t>
      </w:r>
    </w:p>
    <w:p>
      <w:pPr/>
      <w:r>
        <w:rPr>
          <w:b/>
        </w:rPr>
        <w:t xml:space="preserve">Pendiente (ver plan de profesionalización):</w:t>
      </w:r>
      <w:r>
        <w:t xml:space="preserve"> despliegue en un hosting público (se evaluó Infinity). El punto crítico a confirmar antes de elegir hosting es si soporta un </w:t>
      </w:r>
      <w:r>
        <w:rPr>
          <w:b/>
        </w:rPr>
        <w:t xml:space="preserve">proceso Node.js persistente</w:t>
      </w:r>
      <w:r>
        <w:t xml:space="preserve"> corriendo junto al sitio PHP — un hosting compartido tradicional normalmente no lo permite, lo que obligaría a separar </w:t>
      </w:r>
      <w:r>
        <w:rPr>
          <w:rStyle w:val="CodeChar"/>
        </w:rPr>
        <w:t xml:space="preserve">samai-service</w:t>
      </w:r>
      <w:r>
        <w:t xml:space="preserve"> en un servicio aparte (ej. una VPS pequeña) aunque el resto de la app sí viva en hosting compartido.</w:t>
      </w:r>
    </w:p>
    <w:p>
      <w:pPr>
        <w:pStyle w:val="Heading2"/>
      </w:pPr>
      <w:r>
        <w:t xml:space="preserve">12. Limitaciones y funcionalidades pendientes</w:t>
      </w:r>
    </w:p>
    <w:p>
      <w:pPr/>
      <w:r>
        <w:rPr>
          <w:b/>
        </w:rPr>
        <w:t xml:space="preserve">Implementado y en producción:</w:t>
      </w:r>
    </w:p>
    <w:p>
      <w:pPr>
        <w:pStyle w:val="ListParagraph"/>
        <w:numPr>
          <w:ilvl w:val="0"/>
          <w:numId w:val="15"/>
        </w:numPr>
      </w:pPr>
      <w:r>
        <w:t xml:space="preserve">Gestión de procesos, clientes, actuaciones, anexos, honorarios, notificaciones, parametrización, reportes.</w:t>
      </w:r>
    </w:p>
    <w:p>
      <w:pPr>
        <w:pStyle w:val="ListParagraph"/>
        <w:numPr>
          <w:ilvl w:val="0"/>
          <w:numId w:val="15"/>
        </w:numPr>
      </w:pPr>
      <w:r>
        <w:t xml:space="preserve">Sincronización con Rama Judicial, SAMAI y TYBA — manual y por cron.</w:t>
      </w:r>
    </w:p>
    <w:p>
      <w:pPr>
        <w:pStyle w:val="ListParagraph"/>
        <w:numPr>
          <w:ilvl w:val="0"/>
          <w:numId w:val="15"/>
        </w:numPr>
      </w:pPr>
      <w:r>
        <w:t xml:space="preserve">Dashboard personalizable, buscador rápido, auditoría de autenticación en los 21 endpoints.</w:t>
      </w:r>
    </w:p>
    <w:p>
      <w:pPr>
        <w:pStyle w:val="ListParagraph"/>
        <w:numPr>
          <w:ilvl w:val="0"/>
          <w:numId w:val="15"/>
        </w:numPr>
      </w:pPr>
      <w:r>
        <w:t xml:space="preserve">Documentación técnica (OpenAPI/Swagger), manual de usuario, este documento de visión general.</w:t>
      </w:r>
    </w:p>
    <w:p>
      <w:pPr/>
      <w:r>
        <w:rPr>
          <w:b/>
        </w:rPr>
        <w:t xml:space="preserve">Incompleto o pendiente (en orden de dificultad, de más fácil a más difícil):</w:t>
      </w:r>
    </w:p>
    <w:p>
      <w:pPr>
        <w:pStyle w:val="ListParagraph"/>
        <w:numPr>
          <w:ilvl w:val="0"/>
          <w:numId w:val="16"/>
        </w:numPr>
      </w:pPr>
      <w:r>
        <w:rPr>
          <w:b/>
        </w:rPr>
        <w:t xml:space="preserve">Pruebas automatizadas:</w:t>
      </w:r>
      <w:r>
        <w:t xml:space="preserve"> no existen aún. Se decidió hacer un set pequeño y dirigido (no una suite completa) enfocado en cálculos de honorarios/vencimientos y en los endpoints de sincronización — queda pendiente ejecutarlo.</w:t>
      </w:r>
    </w:p>
    <w:p>
      <w:pPr>
        <w:pStyle w:val="ListParagraph"/>
        <w:numPr>
          <w:ilvl w:val="0"/>
          <w:numId w:val="16"/>
        </w:numPr>
      </w:pPr>
      <w:r>
        <w:rPr>
          <w:b/>
        </w:rPr>
        <w:t xml:space="preserve">Despliegue en servidor web público:</w:t>
      </w:r>
      <w:r>
        <w:t xml:space="preserve"> evaluando Infinity; pendiente confirmar soporte para el proceso Node/Playwright persistente (ver sección 11).</w:t>
      </w:r>
    </w:p>
    <w:p>
      <w:pPr>
        <w:pStyle w:val="ListParagraph"/>
        <w:numPr>
          <w:ilvl w:val="0"/>
          <w:numId w:val="16"/>
        </w:numPr>
      </w:pPr>
      <w:r>
        <w:rPr>
          <w:b/>
        </w:rPr>
        <w:t xml:space="preserve">Integración con SIUGJ</w:t>
      </w:r>
      <w:r>
        <w:t xml:space="preserve"> (portal laboral/penal): es la más difícil — requiere construir un scraper nuevo desde cero, similar a SAMAI/TYBA. El portal mismo aún muestra "próximamente" del lado oficial, así que no hay API ni estructura que replicar todavía.</w:t>
      </w:r>
    </w:p>
    <w:p>
      <w:pPr/>
      <w:r>
        <w:rPr>
          <w:b/>
        </w:rPr>
        <w:t xml:space="preserve">Limitaciones de diseño conocidas (no son bugs, son decisiones pendientes de revisar):</w:t>
      </w:r>
    </w:p>
    <w:p>
      <w:pPr>
        <w:pStyle w:val="ListParagraph"/>
        <w:numPr>
          <w:ilvl w:val="0"/>
          <w:numId w:val="17"/>
        </w:numPr>
      </w:pPr>
      <w:r>
        <w:t xml:space="preserve">Sin roles/permisos granulares (sección 9).</w:t>
      </w:r>
    </w:p>
    <w:p>
      <w:pPr>
        <w:pStyle w:val="ListParagraph"/>
        <w:numPr>
          <w:ilvl w:val="0"/>
          <w:numId w:val="17"/>
        </w:numPr>
      </w:pPr>
      <w:r>
        <w:t xml:space="preserve">El vencimiento de plazos es un indicador visual (semáforo), no genera una notificación push automática como sí ocurre con las actuaciones nuevas.</w:t>
      </w:r>
    </w:p>
    <w:p>
      <w:pPr>
        <w:pStyle w:val="ListParagraph"/>
        <w:numPr>
          <w:ilvl w:val="0"/>
          <w:numId w:val="17"/>
        </w:numPr>
      </w:pPr>
      <w:r>
        <w:t xml:space="preserve">Un solo ambiente (no hay dev/staging/producción separados).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1"/>
    <w:lvlOverride w:ilvl="0">
      <w:startOverride w:val="1"/>
    </w:lvlOverride>
  </w:num>
  <w:num w:numId="1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Visión General, Funcionamiento y Arquitectura del Sistema</dc:title>
  <dc:description>Claude Docs node/084ec962-cf98@13 docx-w6</dc:description>
  <cp:revision>13</cp:revision>
</cp:coreProperties>
</file>