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i w:val="0"/>
          <w:color w:val="0071CE"/>
          <w:sz w:val="20"/>
        </w:rPr>
        <w:t>PARTICIPANT ASSIGNMENT</w:t>
      </w:r>
    </w:p>
    <w:p>
      <w:pPr>
        <w:pStyle w:val="Title"/>
      </w:pPr>
      <w:r>
        <w:t>Shelf Availability</w:t>
        <w:br/>
        <w:t>Exception Resolution</w:t>
      </w:r>
    </w:p>
    <w:p>
      <w:pPr>
        <w:pStyle w:val="Subtitle"/>
      </w:pPr>
      <w:r>
        <w:t>A two-hour Agentic AI engineering challenge for retail operations</w:t>
      </w:r>
    </w:p>
    <w:tbl>
      <w:tblPr>
        <w:tblW w:type="dxa" w:w="9120"/>
        <w:jc w:val="left"/>
        <w:tblLayout w:type="fixed"/>
        <w:tblLook w:firstColumn="1" w:firstRow="1" w:lastColumn="0" w:lastRow="0" w:noHBand="0" w:noVBand="1" w:val="04A0"/>
        <w:tblInd w:type="dxa" w:w="120"/>
      </w:tblPr>
      <w:tblGrid>
        <w:gridCol w:w="9120"/>
      </w:tblGrid>
      <w:tr>
        <w:trPr>
          <w:tblHeader w:val="true"/>
          <w:cantSplit/>
        </w:trPr>
        <w:tc>
          <w:tcPr>
            <w:tcW w:type="dxa" w:w="9120"/>
            <w:shd w:fill="EAF5EF"/>
            <w:tcBorders>
              <w:top w:val="single" w:sz="5" w:color="EAF5EF"/>
              <w:left w:val="single" w:sz="5" w:color="EAF5EF"/>
              <w:bottom w:val="single" w:sz="5" w:color="EAF5EF"/>
              <w:right w:val="single" w:sz="5" w:color="EAF5EF"/>
            </w:tcBorders>
            <w:vAlign w:val="center"/>
            <w:tcMar>
              <w:top w:w="80" w:type="dxa"/>
              <w:bottom w:w="80" w:type="dxa"/>
              <w:start w:w="120" w:type="dxa"/>
              <w:end w:w="120" w:type="dxa"/>
            </w:tcMar>
          </w:tcPr>
          <w:p>
            <w:pPr>
              <w:spacing w:before="120" w:after="120" w:line="276" w:lineRule="auto"/>
            </w:pPr>
            <w:r>
              <w:rPr>
                <w:rFonts w:ascii="Calibri" w:hAnsi="Calibri"/>
                <w:b/>
                <w:i w:val="0"/>
                <w:color w:val="2E6B4F"/>
                <w:sz w:val="22"/>
              </w:rPr>
              <w:t xml:space="preserve">MISSION  </w:t>
            </w:r>
            <w:r>
              <w:rPr>
                <w:rFonts w:ascii="Calibri" w:hAnsi="Calibri"/>
                <w:b w:val="0"/>
                <w:i w:val="0"/>
                <w:color w:val="1F2933"/>
                <w:sz w:val="22"/>
              </w:rPr>
              <w:t>Build a grounded, resilient decision assistant that investigates a shelf-availability exception and recommends the safest next operational action.</w:t>
            </w:r>
          </w:p>
        </w:tc>
      </w:tr>
    </w:tbl>
    <w:p>
      <w:pPr>
        <w:spacing w:after="20"/>
      </w:pPr>
    </w:p>
    <w:tbl>
      <w:tblPr>
        <w:tblW w:type="dxa" w:w="9360"/>
        <w:jc w:val="left"/>
        <w:tblLayout w:type="fixed"/>
        <w:tblLook w:firstColumn="1" w:firstRow="1" w:lastColumn="0" w:lastRow="0" w:noHBand="0" w:noVBand="1" w:val="04A0"/>
        <w:tblInd w:type="dxa" w:w="120"/>
      </w:tblPr>
      <w:tblGrid>
        <w:gridCol w:w="1800"/>
        <w:gridCol w:w="2100"/>
        <w:gridCol w:w="3300"/>
        <w:gridCol w:w="2160"/>
      </w:tblGrid>
      <w:tr>
        <w:trPr>
          <w:tblHeader w:val="true"/>
          <w:cantSplit/>
        </w:trPr>
        <w:tc>
          <w:tcPr>
            <w:tcW w:type="dxa" w:w="18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TIMEBOX</w:t>
            </w:r>
          </w:p>
        </w:tc>
        <w:tc>
          <w:tcPr>
            <w:tcW w:type="dxa" w:w="21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WORK MODE</w:t>
            </w:r>
          </w:p>
        </w:tc>
        <w:tc>
          <w:tcPr>
            <w:tcW w:type="dxa" w:w="33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PRIMARY OUTPUT</w:t>
            </w:r>
          </w:p>
        </w:tc>
        <w:tc>
          <w:tcPr>
            <w:tcW w:type="dxa" w:w="216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TEST CASES</w:t>
            </w:r>
          </w:p>
        </w:tc>
      </w:tr>
      <w:tr>
        <w:trPr>
          <w:cantSplit/>
        </w:trPr>
        <w:tc>
          <w:tcPr>
            <w:tcW w:type="dxa" w:w="18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9"/>
              </w:rPr>
              <w:t>120 minutes</w:t>
            </w:r>
          </w:p>
        </w:tc>
        <w:tc>
          <w:tcPr>
            <w:tcW w:type="dxa" w:w="21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9"/>
              </w:rPr>
              <w:t>Individual or pair</w:t>
            </w:r>
          </w:p>
        </w:tc>
        <w:tc>
          <w:tcPr>
            <w:tcW w:type="dxa" w:w="33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9"/>
              </w:rPr>
              <w:t>One executable notebook</w:t>
            </w:r>
          </w:p>
        </w:tc>
        <w:tc>
          <w:tcPr>
            <w:tcW w:type="dxa" w:w="21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9"/>
              </w:rPr>
              <w:t>Four retail exceptions</w:t>
            </w:r>
          </w:p>
        </w:tc>
      </w:tr>
    </w:tbl>
    <w:p>
      <w:pPr>
        <w:spacing w:after="40"/>
      </w:pPr>
    </w:p>
    <w:p>
      <w:pPr>
        <w:spacing w:after="120" w:line="300" w:lineRule="auto"/>
      </w:pPr>
      <w:r>
        <w:rPr>
          <w:rFonts w:ascii="Calibri" w:hAnsi="Calibri"/>
          <w:b w:val="0"/>
          <w:i w:val="0"/>
          <w:color w:val="1F2933"/>
          <w:sz w:val="22"/>
        </w:rPr>
        <w:t>This is a transfer exercise, not a repetition of the classroom examples. You will reuse the architecture-decision, structured-output, retrieval, tool-integration, LangGraph orchestration and resilience patterns already taught, but apply them to a different retail operations problem.</w:t>
      </w:r>
    </w:p>
    <w:p>
      <w:pPr>
        <w:pStyle w:val="Heading1"/>
      </w:pPr>
      <w:r>
        <w:t>What you should demonstrate</w:t>
      </w:r>
    </w:p>
    <w:p>
      <w:pPr>
        <w:pStyle w:val="ListBullet"/>
        <w:spacing w:after="80" w:line="300" w:lineRule="auto"/>
        <w:ind w:left="540" w:hanging="271"/>
      </w:pPr>
      <w:r>
        <w:rPr>
          <w:rFonts w:ascii="Calibri" w:hAnsi="Calibri"/>
          <w:b w:val="0"/>
          <w:i w:val="0"/>
          <w:color w:val="1F2933"/>
          <w:sz w:val="22"/>
        </w:rPr>
        <w:t>Make an explicit architecture choice instead of defaulting to a full autonomous agent.</w:t>
      </w:r>
    </w:p>
    <w:p>
      <w:pPr>
        <w:pStyle w:val="ListBullet"/>
        <w:spacing w:after="80" w:line="300" w:lineRule="auto"/>
        <w:ind w:left="540" w:hanging="271"/>
      </w:pPr>
      <w:r>
        <w:rPr>
          <w:rFonts w:ascii="Calibri" w:hAnsi="Calibri"/>
          <w:b w:val="0"/>
          <w:i w:val="0"/>
          <w:color w:val="1F2933"/>
          <w:sz w:val="22"/>
        </w:rPr>
        <w:t>Ground every operational recommendation in tool data and retrieved policy evidence.</w:t>
      </w:r>
    </w:p>
    <w:p>
      <w:pPr>
        <w:pStyle w:val="ListBullet"/>
        <w:spacing w:after="80" w:line="300" w:lineRule="auto"/>
        <w:ind w:left="540" w:hanging="271"/>
      </w:pPr>
      <w:r>
        <w:rPr>
          <w:rFonts w:ascii="Calibri" w:hAnsi="Calibri"/>
          <w:b w:val="0"/>
          <w:i w:val="0"/>
          <w:color w:val="1F2933"/>
          <w:sz w:val="22"/>
        </w:rPr>
        <w:t>Use a typed output contract that downstream systems can validate.</w:t>
      </w:r>
    </w:p>
    <w:p>
      <w:pPr>
        <w:pStyle w:val="ListBullet"/>
        <w:spacing w:after="80" w:line="300" w:lineRule="auto"/>
        <w:ind w:left="540" w:hanging="271"/>
      </w:pPr>
      <w:r>
        <w:rPr>
          <w:rFonts w:ascii="Calibri" w:hAnsi="Calibri"/>
          <w:b w:val="0"/>
          <w:i w:val="0"/>
          <w:color w:val="1F2933"/>
          <w:sz w:val="22"/>
        </w:rPr>
        <w:t>Use LangGraph to make routing and quality checks visible.</w:t>
      </w:r>
    </w:p>
    <w:p>
      <w:pPr>
        <w:pStyle w:val="ListBullet"/>
        <w:spacing w:after="80" w:line="300" w:lineRule="auto"/>
        <w:ind w:left="540" w:hanging="271"/>
      </w:pPr>
      <w:r>
        <w:rPr>
          <w:rFonts w:ascii="Calibri" w:hAnsi="Calibri"/>
          <w:b w:val="0"/>
          <w:i w:val="0"/>
          <w:color w:val="1F2933"/>
          <w:sz w:val="22"/>
        </w:rPr>
        <w:t>Handle invalid identifiers and a transient tool failure without inventing facts.</w:t>
      </w:r>
    </w:p>
    <w:p>
      <w:pPr>
        <w:pageBreakBefore/>
      </w:pPr>
    </w:p>
    <w:p>
      <w:pPr>
        <w:pStyle w:val="Heading1"/>
      </w:pPr>
      <w:r>
        <w:t>1. Problem statement</w:t>
      </w:r>
    </w:p>
    <w:p>
      <w:pPr>
        <w:spacing w:after="120" w:line="300" w:lineRule="auto"/>
      </w:pPr>
      <w:r>
        <w:rPr>
          <w:rFonts w:ascii="Calibri" w:hAnsi="Calibri"/>
          <w:b w:val="0"/>
          <w:i w:val="0"/>
          <w:color w:val="1F2933"/>
          <w:sz w:val="22"/>
        </w:rPr>
        <w:t>NorthStar Retail operates large-format stores. A shelf can show zero or low stock even when inventory exists in the backroom, an inbound delivery is close, a nearby store can transfer units, or an approved substitute is available. Store associates currently inspect several systems and interpret policy manually. The delay can increase lost sales and produce inconsistent decisions.</w:t>
      </w:r>
    </w:p>
    <w:p>
      <w:pPr>
        <w:spacing w:after="120" w:line="300" w:lineRule="auto"/>
      </w:pPr>
      <w:r>
        <w:rPr>
          <w:rFonts w:ascii="Calibri" w:hAnsi="Calibri"/>
          <w:b w:val="0"/>
          <w:i w:val="0"/>
          <w:color w:val="1F2933"/>
          <w:sz w:val="22"/>
        </w:rPr>
        <w:t>Your team must prototype a Shelf Availability Exception Resolution Assistant. For each exception, the assistant must collect evidence, retrieve the relevant policy, choose one operational action, explain the decision, disclose uncertainty and escalate whenever the evidence is unsafe or incomplete.</w:t>
      </w:r>
    </w:p>
    <w:tbl>
      <w:tblPr>
        <w:tblW w:type="dxa" w:w="9120"/>
        <w:jc w:val="left"/>
        <w:tblLayout w:type="fixed"/>
        <w:tblLook w:firstColumn="1" w:firstRow="1" w:lastColumn="0" w:lastRow="0" w:noHBand="0" w:noVBand="1" w:val="04A0"/>
        <w:tblInd w:type="dxa" w:w="120"/>
      </w:tblPr>
      <w:tblGrid>
        <w:gridCol w:w="9120"/>
      </w:tblGrid>
      <w:tr>
        <w:trPr>
          <w:tblHeader w:val="true"/>
          <w:cantSplit/>
        </w:trPr>
        <w:tc>
          <w:tcPr>
            <w:tcW w:type="dxa" w:w="9120"/>
            <w:shd w:fill="FFF5CC"/>
            <w:tcBorders>
              <w:top w:val="single" w:sz="5" w:color="FFF5CC"/>
              <w:left w:val="single" w:sz="5" w:color="FFF5CC"/>
              <w:bottom w:val="single" w:sz="5" w:color="FFF5CC"/>
              <w:right w:val="single" w:sz="5" w:color="FFF5CC"/>
            </w:tcBorders>
            <w:vAlign w:val="center"/>
            <w:tcMar>
              <w:top w:w="80" w:type="dxa"/>
              <w:bottom w:w="80" w:type="dxa"/>
              <w:start w:w="120" w:type="dxa"/>
              <w:end w:w="120" w:type="dxa"/>
            </w:tcMar>
          </w:tcPr>
          <w:p>
            <w:pPr>
              <w:spacing w:before="120" w:after="120" w:line="276" w:lineRule="auto"/>
            </w:pPr>
            <w:r>
              <w:rPr>
                <w:rFonts w:ascii="Calibri" w:hAnsi="Calibri"/>
                <w:b/>
                <w:i w:val="0"/>
                <w:color w:val="17365D"/>
                <w:sz w:val="22"/>
              </w:rPr>
              <w:t xml:space="preserve">NON-NEGOTIABLE  </w:t>
            </w:r>
            <w:r>
              <w:rPr>
                <w:rFonts w:ascii="Calibri" w:hAnsi="Calibri"/>
                <w:b w:val="0"/>
                <w:i w:val="0"/>
                <w:color w:val="1F2933"/>
                <w:sz w:val="22"/>
              </w:rPr>
              <w:t>The assistant must never invent a SKU, quantity, distance, delivery time or policy. If a required fact cannot be verified, it must escalate rather than guess.</w:t>
            </w:r>
          </w:p>
        </w:tc>
      </w:tr>
    </w:tbl>
    <w:p>
      <w:pPr>
        <w:spacing w:after="20"/>
      </w:pPr>
    </w:p>
    <w:p>
      <w:pPr>
        <w:pStyle w:val="Heading2"/>
      </w:pPr>
      <w:r>
        <w:t>Available actions</w:t>
      </w:r>
    </w:p>
    <w:p>
      <w:pPr>
        <w:pStyle w:val="ListBullet"/>
        <w:spacing w:after="80" w:line="300" w:lineRule="auto"/>
        <w:ind w:left="540" w:hanging="271"/>
      </w:pPr>
      <w:r>
        <w:rPr>
          <w:rFonts w:ascii="Calibri" w:hAnsi="Calibri"/>
          <w:b w:val="0"/>
          <w:i w:val="0"/>
          <w:color w:val="1F2933"/>
          <w:sz w:val="22"/>
        </w:rPr>
        <w:t>REPLENISH_FROM_BACKROOM — move verified stock from the backroom to the shelf.</w:t>
      </w:r>
    </w:p>
    <w:p>
      <w:pPr>
        <w:pStyle w:val="ListBullet"/>
        <w:spacing w:after="80" w:line="300" w:lineRule="auto"/>
        <w:ind w:left="540" w:hanging="271"/>
      </w:pPr>
      <w:r>
        <w:rPr>
          <w:rFonts w:ascii="Calibri" w:hAnsi="Calibri"/>
          <w:b w:val="0"/>
          <w:i w:val="0"/>
          <w:color w:val="1F2933"/>
          <w:sz w:val="22"/>
        </w:rPr>
        <w:t>WAIT_FOR_INBOUND — wait when the shelf has enough cover and a delivery is due soon.</w:t>
      </w:r>
    </w:p>
    <w:p>
      <w:pPr>
        <w:pStyle w:val="ListBullet"/>
        <w:spacing w:after="80" w:line="300" w:lineRule="auto"/>
        <w:ind w:left="540" w:hanging="271"/>
      </w:pPr>
      <w:r>
        <w:rPr>
          <w:rFonts w:ascii="Calibri" w:hAnsi="Calibri"/>
          <w:b w:val="0"/>
          <w:i w:val="0"/>
          <w:color w:val="1F2933"/>
          <w:sz w:val="22"/>
        </w:rPr>
        <w:t>TRANSFER_FROM_NEARBY_STORE — request a safe transfer from an eligible donor store.</w:t>
      </w:r>
    </w:p>
    <w:p>
      <w:pPr>
        <w:pStyle w:val="ListBullet"/>
        <w:spacing w:after="80" w:line="300" w:lineRule="auto"/>
        <w:ind w:left="540" w:hanging="271"/>
      </w:pPr>
      <w:r>
        <w:rPr>
          <w:rFonts w:ascii="Calibri" w:hAnsi="Calibri"/>
          <w:b w:val="0"/>
          <w:i w:val="0"/>
          <w:color w:val="1F2933"/>
          <w:sz w:val="22"/>
        </w:rPr>
        <w:t>OFFER_APPROVED_SUBSTITUTE — recommend a policy-compliant substitute.</w:t>
      </w:r>
    </w:p>
    <w:p>
      <w:pPr>
        <w:pStyle w:val="ListBullet"/>
        <w:spacing w:after="80" w:line="300" w:lineRule="auto"/>
        <w:ind w:left="540" w:hanging="271"/>
      </w:pPr>
      <w:r>
        <w:rPr>
          <w:rFonts w:ascii="Calibri" w:hAnsi="Calibri"/>
          <w:b w:val="0"/>
          <w:i w:val="0"/>
          <w:color w:val="1F2933"/>
          <w:sz w:val="22"/>
        </w:rPr>
        <w:t>ESCALATE_FOR_VERIFICATION — request human verification when facts or tools are insufficient.</w:t>
      </w:r>
    </w:p>
    <w:p>
      <w:pPr>
        <w:pStyle w:val="Heading2"/>
      </w:pPr>
      <w:r>
        <w:t>Policy rules supplied for this exercise</w:t>
      </w:r>
    </w:p>
    <w:tbl>
      <w:tblPr>
        <w:tblW w:type="dxa" w:w="9360"/>
        <w:jc w:val="left"/>
        <w:tblLayout w:type="fixed"/>
        <w:tblLook w:firstColumn="1" w:firstRow="1" w:lastColumn="0" w:lastRow="0" w:noHBand="0" w:noVBand="1" w:val="04A0"/>
        <w:tblInd w:type="dxa" w:w="120"/>
      </w:tblPr>
      <w:tblGrid>
        <w:gridCol w:w="1700"/>
        <w:gridCol w:w="7660"/>
      </w:tblGrid>
      <w:tr>
        <w:trPr>
          <w:tblHeader w:val="true"/>
          <w:cantSplit/>
        </w:trPr>
        <w:tc>
          <w:tcPr>
            <w:tcW w:type="dxa" w:w="17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POLICY ID</w:t>
            </w:r>
          </w:p>
        </w:tc>
        <w:tc>
          <w:tcPr>
            <w:tcW w:type="dxa" w:w="766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RULE</w:t>
            </w:r>
          </w:p>
        </w:tc>
      </w:tr>
      <w:tr>
        <w:trPr>
          <w:cantSplit/>
        </w:trPr>
        <w:tc>
          <w:tcPr>
            <w:tcW w:type="dxa" w:w="17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POL-INV-01</w:t>
            </w:r>
          </w:p>
        </w:tc>
        <w:tc>
          <w:tcPr>
            <w:tcW w:type="dxa" w:w="76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Use backroom stock first when verified backroom quantity covers the shelf gap plus two units of safety stock.</w:t>
            </w:r>
          </w:p>
        </w:tc>
      </w:tr>
      <w:tr>
        <w:trPr>
          <w:cantSplit/>
        </w:trPr>
        <w:tc>
          <w:tcPr>
            <w:tcW w:type="dxa" w:w="17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POL-INB-02</w:t>
            </w:r>
          </w:p>
        </w:tc>
        <w:tc>
          <w:tcPr>
            <w:tcW w:type="dxa" w:w="76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Wait for inbound only when ETA is four hours or less and current shelf cover is at least two hours.</w:t>
            </w:r>
          </w:p>
        </w:tc>
      </w:tr>
      <w:tr>
        <w:trPr>
          <w:cantSplit/>
        </w:trPr>
        <w:tc>
          <w:tcPr>
            <w:tcW w:type="dxa" w:w="17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POL-TRN-03</w:t>
            </w:r>
          </w:p>
        </w:tc>
        <w:tc>
          <w:tcPr>
            <w:tcW w:type="dxa" w:w="76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A donor store must be within 15 miles and retain at least four units after the transfer.</w:t>
            </w:r>
          </w:p>
        </w:tc>
      </w:tr>
      <w:tr>
        <w:trPr>
          <w:cantSplit/>
        </w:trPr>
        <w:tc>
          <w:tcPr>
            <w:tcW w:type="dxa" w:w="17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POL-SUB-04</w:t>
            </w:r>
          </w:p>
        </w:tc>
        <w:tc>
          <w:tcPr>
            <w:tcW w:type="dxa" w:w="76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A substitute must be in the same category, within 15% price variance and have at least three units available.</w:t>
            </w:r>
          </w:p>
        </w:tc>
      </w:tr>
      <w:tr>
        <w:trPr>
          <w:cantSplit/>
        </w:trPr>
        <w:tc>
          <w:tcPr>
            <w:tcW w:type="dxa" w:w="17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POL-SAF-05</w:t>
            </w:r>
          </w:p>
        </w:tc>
        <w:tc>
          <w:tcPr>
            <w:tcW w:type="dxa" w:w="76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Cached inventory may support a provisional action only when no older than 15 minutes; mark it for associate verification.</w:t>
            </w:r>
          </w:p>
        </w:tc>
      </w:tr>
    </w:tbl>
    <w:p>
      <w:pPr>
        <w:spacing w:after="40"/>
      </w:pPr>
    </w:p>
    <w:p>
      <w:pPr>
        <w:pageBreakBefore/>
      </w:pPr>
    </w:p>
    <w:p>
      <w:pPr>
        <w:pStyle w:val="Heading1"/>
      </w:pPr>
      <w:r>
        <w:t>2. Supplied data pack</w:t>
      </w:r>
    </w:p>
    <w:p>
      <w:pPr>
        <w:spacing w:after="120" w:line="300" w:lineRule="auto"/>
      </w:pPr>
      <w:r>
        <w:rPr>
          <w:rFonts w:ascii="Calibri" w:hAnsi="Calibri"/>
          <w:b w:val="0"/>
          <w:i w:val="0"/>
          <w:color w:val="1F2933"/>
          <w:sz w:val="22"/>
        </w:rPr>
        <w:t>Use these records as the authoritative data for the assignment. You may represent them as Python dictionaries, JSON objects or tool-return fixtures. Do not invent additional quantities or operational facts.</w:t>
      </w:r>
    </w:p>
    <w:tbl>
      <w:tblPr>
        <w:tblW w:type="dxa" w:w="9360"/>
        <w:jc w:val="left"/>
        <w:tblLayout w:type="fixed"/>
        <w:tblLook w:firstColumn="1" w:firstRow="1" w:lastColumn="0" w:lastRow="0" w:noHBand="0" w:noVBand="1" w:val="04A0"/>
        <w:tblInd w:type="dxa" w:w="120"/>
      </w:tblPr>
      <w:tblGrid>
        <w:gridCol w:w="850"/>
        <w:gridCol w:w="900"/>
        <w:gridCol w:w="1600"/>
        <w:gridCol w:w="1450"/>
        <w:gridCol w:w="1350"/>
        <w:gridCol w:w="1300"/>
        <w:gridCol w:w="1910"/>
      </w:tblGrid>
      <w:tr>
        <w:trPr>
          <w:tblHeader w:val="true"/>
          <w:cantSplit/>
        </w:trPr>
        <w:tc>
          <w:tcPr>
            <w:tcW w:type="dxa" w:w="85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CASE</w:t>
            </w:r>
          </w:p>
        </w:tc>
        <w:tc>
          <w:tcPr>
            <w:tcW w:type="dxa" w:w="9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STORE</w:t>
            </w:r>
          </w:p>
        </w:tc>
        <w:tc>
          <w:tcPr>
            <w:tcW w:type="dxa" w:w="16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SKU</w:t>
            </w:r>
          </w:p>
        </w:tc>
        <w:tc>
          <w:tcPr>
            <w:tcW w:type="dxa" w:w="145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SHELF / CAP.</w:t>
            </w:r>
          </w:p>
        </w:tc>
        <w:tc>
          <w:tcPr>
            <w:tcW w:type="dxa" w:w="135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4-H DEMAND</w:t>
            </w:r>
          </w:p>
        </w:tc>
        <w:tc>
          <w:tcPr>
            <w:tcW w:type="dxa" w:w="13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BACKROOM</w:t>
            </w:r>
          </w:p>
        </w:tc>
        <w:tc>
          <w:tcPr>
            <w:tcW w:type="dxa" w:w="191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INBOUND ETA / CONF.</w:t>
            </w:r>
          </w:p>
        </w:tc>
      </w:tr>
      <w:tr>
        <w:trPr>
          <w:cantSplit/>
        </w:trPr>
        <w:tc>
          <w:tcPr>
            <w:tcW w:type="dxa" w:w="8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EX-101</w:t>
            </w:r>
          </w:p>
        </w:tc>
        <w:tc>
          <w:tcPr>
            <w:tcW w:type="dxa" w:w="9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S042</w:t>
            </w:r>
          </w:p>
        </w:tc>
        <w:tc>
          <w:tcPr>
            <w:tcW w:type="dxa" w:w="16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COF-ARAB-12</w:t>
            </w:r>
          </w:p>
        </w:tc>
        <w:tc>
          <w:tcPr>
            <w:tcW w:type="dxa" w:w="14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 / 6</w:t>
            </w:r>
          </w:p>
        </w:tc>
        <w:tc>
          <w:tcPr>
            <w:tcW w:type="dxa" w:w="13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8</w:t>
            </w:r>
          </w:p>
        </w:tc>
        <w:tc>
          <w:tcPr>
            <w:tcW w:type="dxa" w:w="13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8</w:t>
            </w:r>
          </w:p>
        </w:tc>
        <w:tc>
          <w:tcPr>
            <w:tcW w:type="dxa" w:w="191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18 h / yes</w:t>
            </w:r>
          </w:p>
        </w:tc>
      </w:tr>
      <w:tr>
        <w:trPr>
          <w:cantSplit/>
        </w:trPr>
        <w:tc>
          <w:tcPr>
            <w:tcW w:type="dxa" w:w="8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EX-102</w:t>
            </w:r>
          </w:p>
        </w:tc>
        <w:tc>
          <w:tcPr>
            <w:tcW w:type="dxa" w:w="9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S108</w:t>
            </w:r>
          </w:p>
        </w:tc>
        <w:tc>
          <w:tcPr>
            <w:tcW w:type="dxa" w:w="16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OAT-ORG-32</w:t>
            </w:r>
          </w:p>
        </w:tc>
        <w:tc>
          <w:tcPr>
            <w:tcW w:type="dxa" w:w="14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4 / 8</w:t>
            </w:r>
          </w:p>
        </w:tc>
        <w:tc>
          <w:tcPr>
            <w:tcW w:type="dxa" w:w="13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4</w:t>
            </w:r>
          </w:p>
        </w:tc>
        <w:tc>
          <w:tcPr>
            <w:tcW w:type="dxa" w:w="13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w:t>
            </w:r>
          </w:p>
        </w:tc>
        <w:tc>
          <w:tcPr>
            <w:tcW w:type="dxa" w:w="191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3 h / yes</w:t>
            </w:r>
          </w:p>
        </w:tc>
      </w:tr>
      <w:tr>
        <w:trPr>
          <w:cantSplit/>
        </w:trPr>
        <w:tc>
          <w:tcPr>
            <w:tcW w:type="dxa" w:w="8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EX-103</w:t>
            </w:r>
          </w:p>
        </w:tc>
        <w:tc>
          <w:tcPr>
            <w:tcW w:type="dxa" w:w="9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S205</w:t>
            </w:r>
          </w:p>
        </w:tc>
        <w:tc>
          <w:tcPr>
            <w:tcW w:type="dxa" w:w="16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NUT-SNK-06</w:t>
            </w:r>
          </w:p>
        </w:tc>
        <w:tc>
          <w:tcPr>
            <w:tcW w:type="dxa" w:w="14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 / 6</w:t>
            </w:r>
          </w:p>
        </w:tc>
        <w:tc>
          <w:tcPr>
            <w:tcW w:type="dxa" w:w="13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5</w:t>
            </w:r>
          </w:p>
        </w:tc>
        <w:tc>
          <w:tcPr>
            <w:tcW w:type="dxa" w:w="13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w:t>
            </w:r>
          </w:p>
        </w:tc>
        <w:tc>
          <w:tcPr>
            <w:tcW w:type="dxa" w:w="191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16 h / yes</w:t>
            </w:r>
          </w:p>
        </w:tc>
      </w:tr>
      <w:tr>
        <w:trPr>
          <w:cantSplit/>
        </w:trPr>
        <w:tc>
          <w:tcPr>
            <w:tcW w:type="dxa" w:w="8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EX-104</w:t>
            </w:r>
          </w:p>
        </w:tc>
        <w:tc>
          <w:tcPr>
            <w:tcW w:type="dxa" w:w="9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S309</w:t>
            </w:r>
          </w:p>
        </w:tc>
        <w:tc>
          <w:tcPr>
            <w:tcW w:type="dxa" w:w="16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SOAP-ALOE-3</w:t>
            </w:r>
          </w:p>
        </w:tc>
        <w:tc>
          <w:tcPr>
            <w:tcW w:type="dxa" w:w="14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 / 3</w:t>
            </w:r>
          </w:p>
        </w:tc>
        <w:tc>
          <w:tcPr>
            <w:tcW w:type="dxa" w:w="13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3</w:t>
            </w:r>
          </w:p>
        </w:tc>
        <w:tc>
          <w:tcPr>
            <w:tcW w:type="dxa" w:w="13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Timeout</w:t>
            </w:r>
          </w:p>
        </w:tc>
        <w:tc>
          <w:tcPr>
            <w:tcW w:type="dxa" w:w="191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20 h / no</w:t>
            </w:r>
          </w:p>
        </w:tc>
      </w:tr>
    </w:tbl>
    <w:p>
      <w:pPr>
        <w:spacing w:after="40"/>
      </w:pPr>
    </w:p>
    <w:p>
      <w:pPr>
        <w:pStyle w:val="Heading2"/>
      </w:pPr>
      <w:r>
        <w:t>Transfer candidates</w:t>
      </w:r>
    </w:p>
    <w:tbl>
      <w:tblPr>
        <w:tblW w:type="dxa" w:w="9360"/>
        <w:jc w:val="left"/>
        <w:tblLayout w:type="fixed"/>
        <w:tblLook w:firstColumn="1" w:firstRow="1" w:lastColumn="0" w:lastRow="0" w:noHBand="0" w:noVBand="1" w:val="04A0"/>
        <w:tblInd w:type="dxa" w:w="120"/>
      </w:tblPr>
      <w:tblGrid>
        <w:gridCol w:w="2200"/>
        <w:gridCol w:w="2200"/>
        <w:gridCol w:w="2200"/>
        <w:gridCol w:w="2760"/>
      </w:tblGrid>
      <w:tr>
        <w:trPr>
          <w:tblHeader w:val="true"/>
          <w:cantSplit/>
        </w:trPr>
        <w:tc>
          <w:tcPr>
            <w:tcW w:type="dxa" w:w="22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SKU</w:t>
            </w:r>
          </w:p>
        </w:tc>
        <w:tc>
          <w:tcPr>
            <w:tcW w:type="dxa" w:w="22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DONOR STORE</w:t>
            </w:r>
          </w:p>
        </w:tc>
        <w:tc>
          <w:tcPr>
            <w:tcW w:type="dxa" w:w="22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DISTANCE</w:t>
            </w:r>
          </w:p>
        </w:tc>
        <w:tc>
          <w:tcPr>
            <w:tcW w:type="dxa" w:w="276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AVAILABLE QUANTITY</w:t>
            </w:r>
          </w:p>
        </w:tc>
      </w:tr>
      <w:tr>
        <w:trPr>
          <w:cantSplit/>
        </w:trPr>
        <w:tc>
          <w:tcPr>
            <w:tcW w:type="dxa" w:w="22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NUT-SNK-06</w:t>
            </w:r>
          </w:p>
        </w:tc>
        <w:tc>
          <w:tcPr>
            <w:tcW w:type="dxa" w:w="22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S208</w:t>
            </w:r>
          </w:p>
        </w:tc>
        <w:tc>
          <w:tcPr>
            <w:tcW w:type="dxa" w:w="22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7.2 miles</w:t>
            </w:r>
          </w:p>
        </w:tc>
        <w:tc>
          <w:tcPr>
            <w:tcW w:type="dxa" w:w="27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10</w:t>
            </w:r>
          </w:p>
        </w:tc>
      </w:tr>
      <w:tr>
        <w:trPr>
          <w:cantSplit/>
        </w:trPr>
        <w:tc>
          <w:tcPr>
            <w:tcW w:type="dxa" w:w="22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NUT-SNK-06</w:t>
            </w:r>
          </w:p>
        </w:tc>
        <w:tc>
          <w:tcPr>
            <w:tcW w:type="dxa" w:w="22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S214</w:t>
            </w:r>
          </w:p>
        </w:tc>
        <w:tc>
          <w:tcPr>
            <w:tcW w:type="dxa" w:w="22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18.0 miles</w:t>
            </w:r>
          </w:p>
        </w:tc>
        <w:tc>
          <w:tcPr>
            <w:tcW w:type="dxa" w:w="27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20</w:t>
            </w:r>
          </w:p>
        </w:tc>
      </w:tr>
    </w:tbl>
    <w:p>
      <w:pPr>
        <w:spacing w:after="40"/>
      </w:pPr>
    </w:p>
    <w:p>
      <w:pPr>
        <w:pStyle w:val="Heading2"/>
      </w:pPr>
      <w:r>
        <w:t>Substitute and cache records</w:t>
      </w:r>
    </w:p>
    <w:tbl>
      <w:tblPr>
        <w:tblW w:type="dxa" w:w="9360"/>
        <w:jc w:val="left"/>
        <w:tblLayout w:type="fixed"/>
        <w:tblLook w:firstColumn="1" w:firstRow="1" w:lastColumn="0" w:lastRow="0" w:noHBand="0" w:noVBand="1" w:val="04A0"/>
        <w:tblInd w:type="dxa" w:w="120"/>
      </w:tblPr>
      <w:tblGrid>
        <w:gridCol w:w="2300"/>
        <w:gridCol w:w="7060"/>
      </w:tblGrid>
      <w:tr>
        <w:trPr>
          <w:tblHeader w:val="true"/>
          <w:cantSplit/>
        </w:trPr>
        <w:tc>
          <w:tcPr>
            <w:tcW w:type="dxa" w:w="23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RECORD</w:t>
            </w:r>
          </w:p>
        </w:tc>
        <w:tc>
          <w:tcPr>
            <w:tcW w:type="dxa" w:w="706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DETAILS</w:t>
            </w:r>
          </w:p>
        </w:tc>
      </w:tr>
      <w:tr>
        <w:trPr>
          <w:cantSplit/>
        </w:trPr>
        <w:tc>
          <w:tcPr>
            <w:tcW w:type="dxa" w:w="23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Original product</w:t>
            </w:r>
          </w:p>
        </w:tc>
        <w:tc>
          <w:tcPr>
            <w:tcW w:type="dxa" w:w="70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SOAP-ALOE-3 | Personal Care | $5.99</w:t>
            </w:r>
          </w:p>
        </w:tc>
      </w:tr>
      <w:tr>
        <w:trPr>
          <w:cantSplit/>
        </w:trPr>
        <w:tc>
          <w:tcPr>
            <w:tcW w:type="dxa" w:w="23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Candidate substitute</w:t>
            </w:r>
          </w:p>
        </w:tc>
        <w:tc>
          <w:tcPr>
            <w:tcW w:type="dxa" w:w="70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SOAP-OAT-3 | Personal Care | $6.49 | 8 units available</w:t>
            </w:r>
          </w:p>
        </w:tc>
      </w:tr>
      <w:tr>
        <w:trPr>
          <w:cantSplit/>
        </w:trPr>
        <w:tc>
          <w:tcPr>
            <w:tcW w:type="dxa" w:w="23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EX-104 cache</w:t>
            </w:r>
          </w:p>
        </w:tc>
        <w:tc>
          <w:tcPr>
            <w:tcW w:type="dxa" w:w="70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SOAP-ALOE-3 at S309 | backroom quantity 5 | cache age 10 minutes</w:t>
            </w:r>
          </w:p>
        </w:tc>
      </w:tr>
      <w:tr>
        <w:trPr>
          <w:cantSplit/>
        </w:trPr>
        <w:tc>
          <w:tcPr>
            <w:tcW w:type="dxa" w:w="23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Failure fixture</w:t>
            </w:r>
          </w:p>
        </w:tc>
        <w:tc>
          <w:tcPr>
            <w:tcW w:type="dxa" w:w="70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The live EX-104 inventory call times out for all three permitted attempts.</w:t>
            </w:r>
          </w:p>
        </w:tc>
      </w:tr>
    </w:tbl>
    <w:p>
      <w:pPr>
        <w:spacing w:after="40"/>
      </w:pPr>
    </w:p>
    <w:tbl>
      <w:tblPr>
        <w:tblW w:type="dxa" w:w="9120"/>
        <w:jc w:val="left"/>
        <w:tblLayout w:type="fixed"/>
        <w:tblLook w:firstColumn="1" w:firstRow="1" w:lastColumn="0" w:lastRow="0" w:noHBand="0" w:noVBand="1" w:val="04A0"/>
        <w:tblInd w:type="dxa" w:w="120"/>
      </w:tblPr>
      <w:tblGrid>
        <w:gridCol w:w="9120"/>
      </w:tblGrid>
      <w:tr>
        <w:trPr>
          <w:tblHeader w:val="true"/>
          <w:cantSplit/>
        </w:trPr>
        <w:tc>
          <w:tcPr>
            <w:tcW w:type="dxa" w:w="9120"/>
            <w:shd w:fill="EAF3FA"/>
            <w:tcBorders>
              <w:top w:val="single" w:sz="5" w:color="EAF3FA"/>
              <w:left w:val="single" w:sz="5" w:color="EAF3FA"/>
              <w:bottom w:val="single" w:sz="5" w:color="EAF3FA"/>
              <w:right w:val="single" w:sz="5" w:color="EAF3FA"/>
            </w:tcBorders>
            <w:vAlign w:val="center"/>
            <w:tcMar>
              <w:top w:w="80" w:type="dxa"/>
              <w:bottom w:w="80" w:type="dxa"/>
              <w:start w:w="120" w:type="dxa"/>
              <w:end w:w="120" w:type="dxa"/>
            </w:tcMar>
          </w:tcPr>
          <w:p>
            <w:pPr>
              <w:spacing w:before="120" w:after="120" w:line="276" w:lineRule="auto"/>
            </w:pPr>
            <w:r>
              <w:rPr>
                <w:rFonts w:ascii="Calibri" w:hAnsi="Calibri"/>
                <w:b/>
                <w:i w:val="0"/>
                <w:color w:val="0071CE"/>
                <w:sz w:val="22"/>
              </w:rPr>
              <w:t xml:space="preserve">IMPLEMENTATION FREEDOM  </w:t>
            </w:r>
            <w:r>
              <w:rPr>
                <w:rFonts w:ascii="Calibri" w:hAnsi="Calibri"/>
                <w:b w:val="0"/>
                <w:i w:val="0"/>
                <w:color w:val="1F2933"/>
                <w:sz w:val="22"/>
              </w:rPr>
              <w:t>Your tool functions may read these records from in-memory dictionaries. Production APIs, authentication and persistence are outside the assignment scope.</w:t>
            </w:r>
          </w:p>
        </w:tc>
      </w:tr>
    </w:tbl>
    <w:p>
      <w:pPr>
        <w:spacing w:after="20"/>
      </w:pPr>
    </w:p>
    <w:p>
      <w:pPr>
        <w:pageBreakBefore/>
      </w:pPr>
    </w:p>
    <w:p>
      <w:pPr>
        <w:pStyle w:val="Heading1"/>
      </w:pPr>
      <w:r>
        <w:t>3. Tasks and timebox</w:t>
      </w:r>
    </w:p>
    <w:p>
      <w:pPr>
        <w:pStyle w:val="Heading2"/>
        <w:keepNext/>
      </w:pPr>
      <w:r>
        <w:rPr>
          <w:rFonts w:ascii="Calibri" w:hAnsi="Calibri"/>
          <w:b/>
          <w:i w:val="0"/>
          <w:color w:val="2E74B5"/>
          <w:sz w:val="26"/>
        </w:rPr>
        <w:t>Task 1 — Choose the architecture</w:t>
      </w:r>
      <w:r>
        <w:rPr>
          <w:rFonts w:ascii="Calibri" w:hAnsi="Calibri"/>
          <w:b/>
          <w:i w:val="0"/>
          <w:color w:val="5F6B76"/>
          <w:sz w:val="18"/>
        </w:rPr>
        <w:t xml:space="preserve">  |  10 min</w:t>
      </w:r>
    </w:p>
    <w:p>
      <w:pPr>
        <w:spacing w:after="120" w:line="300" w:lineRule="auto"/>
      </w:pPr>
      <w:r>
        <w:rPr>
          <w:rFonts w:ascii="Calibri" w:hAnsi="Calibri"/>
          <w:b w:val="0"/>
          <w:i w:val="0"/>
          <w:color w:val="1F2933"/>
          <w:sz w:val="22"/>
        </w:rPr>
        <w:t>Score the use case on task complexity, latency tolerance, cost tolerance, risk tolerance and update frequency. Choose workflow, agent, hybrid or traditional software. Write a short justification.</w:t>
      </w:r>
    </w:p>
    <w:p>
      <w:pPr>
        <w:pStyle w:val="ListBullet2"/>
        <w:spacing w:after="60" w:line="288" w:lineRule="auto"/>
        <w:ind w:left="900" w:hanging="271"/>
      </w:pPr>
      <w:r>
        <w:rPr>
          <w:rFonts w:ascii="Calibri" w:hAnsi="Calibri"/>
          <w:b w:val="0"/>
          <w:i w:val="0"/>
          <w:color w:val="1F2933"/>
          <w:sz w:val="21"/>
        </w:rPr>
        <w:t>Return the five scores and the recommended architecture.</w:t>
      </w:r>
    </w:p>
    <w:p>
      <w:pPr>
        <w:pStyle w:val="ListBullet2"/>
        <w:spacing w:after="60" w:line="288" w:lineRule="auto"/>
        <w:ind w:left="900" w:hanging="271"/>
      </w:pPr>
      <w:r>
        <w:rPr>
          <w:rFonts w:ascii="Calibri" w:hAnsi="Calibri"/>
          <w:b w:val="0"/>
          <w:i w:val="0"/>
          <w:color w:val="1F2933"/>
          <w:sz w:val="21"/>
        </w:rPr>
        <w:t>Explain why a more autonomous design would or would not be justified.</w:t>
      </w:r>
    </w:p>
    <w:p>
      <w:pPr>
        <w:pStyle w:val="Heading2"/>
        <w:keepNext/>
      </w:pPr>
      <w:r>
        <w:rPr>
          <w:rFonts w:ascii="Calibri" w:hAnsi="Calibri"/>
          <w:b/>
          <w:i w:val="0"/>
          <w:color w:val="2E74B5"/>
          <w:sz w:val="26"/>
        </w:rPr>
        <w:t>Task 2 — Define trustworthy contracts</w:t>
      </w:r>
      <w:r>
        <w:rPr>
          <w:rFonts w:ascii="Calibri" w:hAnsi="Calibri"/>
          <w:b/>
          <w:i w:val="0"/>
          <w:color w:val="5F6B76"/>
          <w:sz w:val="18"/>
        </w:rPr>
        <w:t xml:space="preserve">  |  15 min</w:t>
      </w:r>
    </w:p>
    <w:p>
      <w:pPr>
        <w:spacing w:after="120" w:line="300" w:lineRule="auto"/>
      </w:pPr>
      <w:r>
        <w:rPr>
          <w:rFonts w:ascii="Calibri" w:hAnsi="Calibri"/>
          <w:b w:val="0"/>
          <w:i w:val="0"/>
          <w:color w:val="1F2933"/>
          <w:sz w:val="22"/>
        </w:rPr>
        <w:t>Create typed input and output models. Your output must include the action, confidence, evidence, policy references, risk flags and whether escalation is required.</w:t>
      </w:r>
    </w:p>
    <w:p>
      <w:pPr>
        <w:pStyle w:val="ListBullet2"/>
        <w:spacing w:after="60" w:line="288" w:lineRule="auto"/>
        <w:ind w:left="900" w:hanging="271"/>
      </w:pPr>
      <w:r>
        <w:rPr>
          <w:rFonts w:ascii="Calibri" w:hAnsi="Calibri"/>
          <w:b w:val="0"/>
          <w:i w:val="0"/>
          <w:color w:val="1F2933"/>
          <w:sz w:val="21"/>
        </w:rPr>
        <w:t>Reject empty case IDs, stores and SKUs.</w:t>
      </w:r>
    </w:p>
    <w:p>
      <w:pPr>
        <w:pStyle w:val="ListBullet2"/>
        <w:spacing w:after="60" w:line="288" w:lineRule="auto"/>
        <w:ind w:left="900" w:hanging="271"/>
      </w:pPr>
      <w:r>
        <w:rPr>
          <w:rFonts w:ascii="Calibri" w:hAnsi="Calibri"/>
          <w:b w:val="0"/>
          <w:i w:val="0"/>
          <w:color w:val="1F2933"/>
          <w:sz w:val="21"/>
        </w:rPr>
        <w:t>Restrict actions to the five allowed values.</w:t>
      </w:r>
    </w:p>
    <w:p>
      <w:pPr>
        <w:pStyle w:val="ListBullet2"/>
        <w:spacing w:after="60" w:line="288" w:lineRule="auto"/>
        <w:ind w:left="900" w:hanging="271"/>
      </w:pPr>
      <w:r>
        <w:rPr>
          <w:rFonts w:ascii="Calibri" w:hAnsi="Calibri"/>
          <w:b w:val="0"/>
          <w:i w:val="0"/>
          <w:color w:val="1F2933"/>
          <w:sz w:val="21"/>
        </w:rPr>
        <w:t>Keep confidence between 0 and 1.</w:t>
      </w:r>
    </w:p>
    <w:p>
      <w:pPr>
        <w:pStyle w:val="Heading2"/>
        <w:keepNext/>
      </w:pPr>
      <w:r>
        <w:rPr>
          <w:rFonts w:ascii="Calibri" w:hAnsi="Calibri"/>
          <w:b/>
          <w:i w:val="0"/>
          <w:color w:val="2E74B5"/>
          <w:sz w:val="26"/>
        </w:rPr>
        <w:t>Task 3 — Build the evidence layer</w:t>
      </w:r>
      <w:r>
        <w:rPr>
          <w:rFonts w:ascii="Calibri" w:hAnsi="Calibri"/>
          <w:b/>
          <w:i w:val="0"/>
          <w:color w:val="5F6B76"/>
          <w:sz w:val="18"/>
        </w:rPr>
        <w:t xml:space="preserve">  |  25 min</w:t>
      </w:r>
    </w:p>
    <w:p>
      <w:pPr>
        <w:spacing w:after="120" w:line="300" w:lineRule="auto"/>
      </w:pPr>
      <w:r>
        <w:rPr>
          <w:rFonts w:ascii="Calibri" w:hAnsi="Calibri"/>
          <w:b w:val="0"/>
          <w:i w:val="0"/>
          <w:color w:val="1F2933"/>
          <w:sz w:val="22"/>
        </w:rPr>
        <w:t>Implement inventory, inbound, transfer and substitute tools over the supplied data. Add a policy retriever that returns the most relevant policy chunks for the case.</w:t>
      </w:r>
    </w:p>
    <w:p>
      <w:pPr>
        <w:pStyle w:val="ListBullet2"/>
        <w:spacing w:after="60" w:line="288" w:lineRule="auto"/>
        <w:ind w:left="900" w:hanging="271"/>
      </w:pPr>
      <w:r>
        <w:rPr>
          <w:rFonts w:ascii="Calibri" w:hAnsi="Calibri"/>
          <w:b w:val="0"/>
          <w:i w:val="0"/>
          <w:color w:val="1F2933"/>
          <w:sz w:val="21"/>
        </w:rPr>
        <w:t>Validate identifiers before calling a tool.</w:t>
      </w:r>
    </w:p>
    <w:p>
      <w:pPr>
        <w:pStyle w:val="ListBullet2"/>
        <w:spacing w:after="60" w:line="288" w:lineRule="auto"/>
        <w:ind w:left="900" w:hanging="271"/>
      </w:pPr>
      <w:r>
        <w:rPr>
          <w:rFonts w:ascii="Calibri" w:hAnsi="Calibri"/>
          <w:b w:val="0"/>
          <w:i w:val="0"/>
          <w:color w:val="1F2933"/>
          <w:sz w:val="21"/>
        </w:rPr>
        <w:t>Return structured dictionaries, not prose-only results.</w:t>
      </w:r>
    </w:p>
    <w:p>
      <w:pPr>
        <w:pStyle w:val="ListBullet2"/>
        <w:spacing w:after="60" w:line="288" w:lineRule="auto"/>
        <w:ind w:left="900" w:hanging="271"/>
      </w:pPr>
      <w:r>
        <w:rPr>
          <w:rFonts w:ascii="Calibri" w:hAnsi="Calibri"/>
          <w:b w:val="0"/>
          <w:i w:val="0"/>
          <w:color w:val="1F2933"/>
          <w:sz w:val="21"/>
        </w:rPr>
        <w:t>Keep tool data separate from the final recommendation.</w:t>
      </w:r>
    </w:p>
    <w:p>
      <w:pPr>
        <w:pStyle w:val="Heading2"/>
        <w:keepNext/>
      </w:pPr>
      <w:r>
        <w:rPr>
          <w:rFonts w:ascii="Calibri" w:hAnsi="Calibri"/>
          <w:b/>
          <w:i w:val="0"/>
          <w:color w:val="2E74B5"/>
          <w:sz w:val="26"/>
        </w:rPr>
        <w:t>Task 4 — Add resilience</w:t>
      </w:r>
      <w:r>
        <w:rPr>
          <w:rFonts w:ascii="Calibri" w:hAnsi="Calibri"/>
          <w:b/>
          <w:i w:val="0"/>
          <w:color w:val="5F6B76"/>
          <w:sz w:val="18"/>
        </w:rPr>
        <w:t xml:space="preserve">  |  15 min</w:t>
      </w:r>
    </w:p>
    <w:p>
      <w:pPr>
        <w:spacing w:after="120" w:line="300" w:lineRule="auto"/>
      </w:pPr>
      <w:r>
        <w:rPr>
          <w:rFonts w:ascii="Calibri" w:hAnsi="Calibri"/>
          <w:b w:val="0"/>
          <w:i w:val="0"/>
          <w:color w:val="1F2933"/>
          <w:sz w:val="22"/>
        </w:rPr>
        <w:t>Wrap the inventory call with timeout/retry behaviour and a cache fallback. When cached data is used, lower confidence and require associate verification.</w:t>
      </w:r>
    </w:p>
    <w:p>
      <w:pPr>
        <w:pStyle w:val="ListBullet2"/>
        <w:spacing w:after="60" w:line="288" w:lineRule="auto"/>
        <w:ind w:left="900" w:hanging="271"/>
      </w:pPr>
      <w:r>
        <w:rPr>
          <w:rFonts w:ascii="Calibri" w:hAnsi="Calibri"/>
          <w:b w:val="0"/>
          <w:i w:val="0"/>
          <w:color w:val="1F2933"/>
          <w:sz w:val="21"/>
        </w:rPr>
        <w:t>Use a bounded retry count.</w:t>
      </w:r>
    </w:p>
    <w:p>
      <w:pPr>
        <w:pStyle w:val="ListBullet2"/>
        <w:spacing w:after="60" w:line="288" w:lineRule="auto"/>
        <w:ind w:left="900" w:hanging="271"/>
      </w:pPr>
      <w:r>
        <w:rPr>
          <w:rFonts w:ascii="Calibri" w:hAnsi="Calibri"/>
          <w:b w:val="0"/>
          <w:i w:val="0"/>
          <w:color w:val="1F2933"/>
          <w:sz w:val="21"/>
        </w:rPr>
        <w:t>Never silently hide degraded data.</w:t>
      </w:r>
    </w:p>
    <w:p>
      <w:pPr>
        <w:pStyle w:val="ListBullet2"/>
        <w:spacing w:after="60" w:line="288" w:lineRule="auto"/>
        <w:ind w:left="900" w:hanging="271"/>
      </w:pPr>
      <w:r>
        <w:rPr>
          <w:rFonts w:ascii="Calibri" w:hAnsi="Calibri"/>
          <w:b w:val="0"/>
          <w:i w:val="0"/>
          <w:color w:val="1F2933"/>
          <w:sz w:val="21"/>
        </w:rPr>
        <w:t>Escalate when the cache is too old or absent.</w:t>
      </w:r>
    </w:p>
    <w:p>
      <w:pPr>
        <w:pageBreakBefore/>
      </w:pPr>
    </w:p>
    <w:p>
      <w:pPr>
        <w:pStyle w:val="Heading2"/>
        <w:keepNext/>
      </w:pPr>
      <w:r>
        <w:rPr>
          <w:rFonts w:ascii="Calibri" w:hAnsi="Calibri"/>
          <w:b/>
          <w:i w:val="0"/>
          <w:color w:val="2E74B5"/>
          <w:sz w:val="26"/>
        </w:rPr>
        <w:t>Task 5 — Orchestrate with LangGraph</w:t>
      </w:r>
      <w:r>
        <w:rPr>
          <w:rFonts w:ascii="Calibri" w:hAnsi="Calibri"/>
          <w:b/>
          <w:i w:val="0"/>
          <w:color w:val="5F6B76"/>
          <w:sz w:val="18"/>
        </w:rPr>
        <w:t xml:space="preserve">  |  35 min</w:t>
      </w:r>
    </w:p>
    <w:p>
      <w:pPr>
        <w:spacing w:after="120" w:line="300" w:lineRule="auto"/>
      </w:pPr>
      <w:r>
        <w:rPr>
          <w:rFonts w:ascii="Calibri" w:hAnsi="Calibri"/>
          <w:b w:val="0"/>
          <w:i w:val="0"/>
          <w:color w:val="1F2933"/>
          <w:sz w:val="22"/>
        </w:rPr>
        <w:t>Build a visible graph with validation, evidence collection, policy retrieval, decision routing, a quality gate and finalisation. A router or a constrained supervisor is acceptable; justify the choice.</w:t>
      </w:r>
    </w:p>
    <w:p>
      <w:pPr>
        <w:pStyle w:val="ListBullet2"/>
        <w:spacing w:after="60" w:line="288" w:lineRule="auto"/>
        <w:ind w:left="900" w:hanging="271"/>
      </w:pPr>
      <w:r>
        <w:rPr>
          <w:rFonts w:ascii="Calibri" w:hAnsi="Calibri"/>
          <w:b w:val="0"/>
          <w:i w:val="0"/>
          <w:color w:val="1F2933"/>
          <w:sz w:val="21"/>
        </w:rPr>
        <w:t>The routing decision must depend on state, not notebook cell order.</w:t>
      </w:r>
    </w:p>
    <w:p>
      <w:pPr>
        <w:pStyle w:val="ListBullet2"/>
        <w:spacing w:after="60" w:line="288" w:lineRule="auto"/>
        <w:ind w:left="900" w:hanging="271"/>
      </w:pPr>
      <w:r>
        <w:rPr>
          <w:rFonts w:ascii="Calibri" w:hAnsi="Calibri"/>
          <w:b w:val="0"/>
          <w:i w:val="0"/>
          <w:color w:val="1F2933"/>
          <w:sz w:val="21"/>
        </w:rPr>
        <w:t>The quality gate must check evidence and policy citations.</w:t>
      </w:r>
    </w:p>
    <w:p>
      <w:pPr>
        <w:pStyle w:val="ListBullet2"/>
        <w:spacing w:after="60" w:line="288" w:lineRule="auto"/>
        <w:ind w:left="900" w:hanging="271"/>
      </w:pPr>
      <w:r>
        <w:rPr>
          <w:rFonts w:ascii="Calibri" w:hAnsi="Calibri"/>
          <w:b w:val="0"/>
          <w:i w:val="0"/>
          <w:color w:val="1F2933"/>
          <w:sz w:val="21"/>
        </w:rPr>
        <w:t>The final node must emit the typed output contract.</w:t>
      </w:r>
    </w:p>
    <w:p>
      <w:pPr>
        <w:pStyle w:val="Heading2"/>
        <w:keepNext/>
      </w:pPr>
      <w:r>
        <w:rPr>
          <w:rFonts w:ascii="Calibri" w:hAnsi="Calibri"/>
          <w:b/>
          <w:i w:val="0"/>
          <w:color w:val="2E74B5"/>
          <w:sz w:val="26"/>
        </w:rPr>
        <w:t>Task 6 — Evaluate and export</w:t>
      </w:r>
      <w:r>
        <w:rPr>
          <w:rFonts w:ascii="Calibri" w:hAnsi="Calibri"/>
          <w:b/>
          <w:i w:val="0"/>
          <w:color w:val="5F6B76"/>
          <w:sz w:val="18"/>
        </w:rPr>
        <w:t xml:space="preserve">  |  20 min</w:t>
      </w:r>
    </w:p>
    <w:p>
      <w:pPr>
        <w:spacing w:after="120" w:line="300" w:lineRule="auto"/>
      </w:pPr>
      <w:r>
        <w:rPr>
          <w:rFonts w:ascii="Calibri" w:hAnsi="Calibri"/>
          <w:b w:val="0"/>
          <w:i w:val="0"/>
          <w:color w:val="1F2933"/>
          <w:sz w:val="22"/>
        </w:rPr>
        <w:t>Run all four test cases, add assertions for expected behaviour and export a JSON result file plus a concise Markdown summary.</w:t>
      </w:r>
    </w:p>
    <w:p>
      <w:pPr>
        <w:pStyle w:val="ListBullet2"/>
        <w:spacing w:after="60" w:line="288" w:lineRule="auto"/>
        <w:ind w:left="900" w:hanging="271"/>
      </w:pPr>
      <w:r>
        <w:rPr>
          <w:rFonts w:ascii="Calibri" w:hAnsi="Calibri"/>
          <w:b w:val="0"/>
          <w:i w:val="0"/>
          <w:color w:val="1F2933"/>
          <w:sz w:val="21"/>
        </w:rPr>
        <w:t>Show the selected action, confidence, policy references and risk flags for every case.</w:t>
      </w:r>
    </w:p>
    <w:p>
      <w:pPr>
        <w:pStyle w:val="ListBullet2"/>
        <w:spacing w:after="60" w:line="288" w:lineRule="auto"/>
        <w:ind w:left="900" w:hanging="271"/>
      </w:pPr>
      <w:r>
        <w:rPr>
          <w:rFonts w:ascii="Calibri" w:hAnsi="Calibri"/>
          <w:b w:val="0"/>
          <w:i w:val="0"/>
          <w:color w:val="1F2933"/>
          <w:sz w:val="21"/>
        </w:rPr>
        <w:t>Prove that the transient failure does not create a fabricated answer.</w:t>
      </w:r>
    </w:p>
    <w:p>
      <w:pPr>
        <w:pStyle w:val="ListBullet2"/>
        <w:spacing w:after="60" w:line="288" w:lineRule="auto"/>
        <w:ind w:left="900" w:hanging="271"/>
      </w:pPr>
      <w:r>
        <w:rPr>
          <w:rFonts w:ascii="Calibri" w:hAnsi="Calibri"/>
          <w:b w:val="0"/>
          <w:i w:val="0"/>
          <w:color w:val="1F2933"/>
          <w:sz w:val="21"/>
        </w:rPr>
        <w:t>Document one limitation and one production-hardening recommendation.</w:t>
      </w:r>
    </w:p>
    <w:p>
      <w:pPr>
        <w:pStyle w:val="Heading1"/>
      </w:pPr>
      <w:r>
        <w:t>4. Supplied test cases</w:t>
      </w:r>
    </w:p>
    <w:tbl>
      <w:tblPr>
        <w:tblW w:type="dxa" w:w="9360"/>
        <w:jc w:val="left"/>
        <w:tblLayout w:type="fixed"/>
        <w:tblLook w:firstColumn="1" w:firstRow="1" w:lastColumn="0" w:lastRow="0" w:noHBand="0" w:noVBand="1" w:val="04A0"/>
        <w:tblInd w:type="dxa" w:w="120"/>
      </w:tblPr>
      <w:tblGrid>
        <w:gridCol w:w="1200"/>
        <w:gridCol w:w="5000"/>
        <w:gridCol w:w="3160"/>
      </w:tblGrid>
      <w:tr>
        <w:trPr>
          <w:tblHeader w:val="true"/>
          <w:cantSplit/>
        </w:trPr>
        <w:tc>
          <w:tcPr>
            <w:tcW w:type="dxa" w:w="12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CASE</w:t>
            </w:r>
          </w:p>
        </w:tc>
        <w:tc>
          <w:tcPr>
            <w:tcW w:type="dxa" w:w="50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CONDITION</w:t>
            </w:r>
          </w:p>
        </w:tc>
        <w:tc>
          <w:tcPr>
            <w:tcW w:type="dxa" w:w="316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EXPECTED BEHAVIOUR</w:t>
            </w:r>
          </w:p>
        </w:tc>
      </w:tr>
      <w:tr>
        <w:trPr>
          <w:cantSplit/>
        </w:trPr>
        <w:tc>
          <w:tcPr>
            <w:tcW w:type="dxa" w:w="12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EX-101</w:t>
            </w:r>
          </w:p>
        </w:tc>
        <w:tc>
          <w:tcPr>
            <w:tcW w:type="dxa" w:w="50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Backroom stock is verified and sufficient.</w:t>
            </w:r>
          </w:p>
        </w:tc>
        <w:tc>
          <w:tcPr>
            <w:tcW w:type="dxa" w:w="31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REPLENISH_FROM_BACKROOM</w:t>
            </w:r>
          </w:p>
        </w:tc>
      </w:tr>
      <w:tr>
        <w:trPr>
          <w:cantSplit/>
        </w:trPr>
        <w:tc>
          <w:tcPr>
            <w:tcW w:type="dxa" w:w="12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EX-102</w:t>
            </w:r>
          </w:p>
        </w:tc>
        <w:tc>
          <w:tcPr>
            <w:tcW w:type="dxa" w:w="50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Shelf has cover; confirmed inbound delivery is due within four hours.</w:t>
            </w:r>
          </w:p>
        </w:tc>
        <w:tc>
          <w:tcPr>
            <w:tcW w:type="dxa" w:w="31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WAIT_FOR_INBOUND</w:t>
            </w:r>
          </w:p>
        </w:tc>
      </w:tr>
      <w:tr>
        <w:trPr>
          <w:cantSplit/>
        </w:trPr>
        <w:tc>
          <w:tcPr>
            <w:tcW w:type="dxa" w:w="12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EX-103</w:t>
            </w:r>
          </w:p>
        </w:tc>
        <w:tc>
          <w:tcPr>
            <w:tcW w:type="dxa" w:w="50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No local stock or near inbound; a nearby donor can safely transfer.</w:t>
            </w:r>
          </w:p>
        </w:tc>
        <w:tc>
          <w:tcPr>
            <w:tcW w:type="dxa" w:w="316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TRANSFER_FROM_NEARBY_STORE</w:t>
            </w:r>
          </w:p>
        </w:tc>
      </w:tr>
      <w:tr>
        <w:trPr>
          <w:cantSplit/>
        </w:trPr>
        <w:tc>
          <w:tcPr>
            <w:tcW w:type="dxa" w:w="12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EX-104</w:t>
            </w:r>
          </w:p>
        </w:tc>
        <w:tc>
          <w:tcPr>
            <w:tcW w:type="dxa" w:w="50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Inventory service fails; a fresh cache entry is available.</w:t>
            </w:r>
          </w:p>
        </w:tc>
        <w:tc>
          <w:tcPr>
            <w:tcW w:type="dxa" w:w="316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8"/>
              </w:rPr>
              <w:t>Provisional action + verification flag</w:t>
            </w:r>
          </w:p>
        </w:tc>
      </w:tr>
    </w:tbl>
    <w:p>
      <w:pPr>
        <w:spacing w:after="40"/>
      </w:pPr>
    </w:p>
    <w:p>
      <w:pPr>
        <w:pStyle w:val="Heading1"/>
      </w:pPr>
      <w:r>
        <w:t>Acceptance criteria</w:t>
      </w:r>
    </w:p>
    <w:p>
      <w:pPr>
        <w:pStyle w:val="ListBullet2"/>
        <w:spacing w:after="60" w:line="288" w:lineRule="auto"/>
        <w:ind w:left="900" w:hanging="271"/>
      </w:pPr>
      <w:r>
        <w:rPr>
          <w:rFonts w:ascii="Calibri" w:hAnsi="Calibri"/>
          <w:b w:val="0"/>
          <w:i w:val="0"/>
          <w:color w:val="1F2933"/>
          <w:sz w:val="21"/>
        </w:rPr>
        <w:t>Architecture: Five-axis score and defensible architecture recommendation are present.</w:t>
      </w:r>
    </w:p>
    <w:p>
      <w:pPr>
        <w:pStyle w:val="ListBullet2"/>
        <w:spacing w:after="60" w:line="288" w:lineRule="auto"/>
        <w:ind w:left="900" w:hanging="271"/>
      </w:pPr>
      <w:r>
        <w:rPr>
          <w:rFonts w:ascii="Calibri" w:hAnsi="Calibri"/>
          <w:b w:val="0"/>
          <w:i w:val="0"/>
          <w:color w:val="1F2933"/>
          <w:sz w:val="21"/>
        </w:rPr>
        <w:t>Contracts: Inputs and outputs are validated; only permitted actions can be emitted.</w:t>
      </w:r>
    </w:p>
    <w:p>
      <w:pPr>
        <w:pStyle w:val="ListBullet2"/>
        <w:spacing w:after="60" w:line="288" w:lineRule="auto"/>
        <w:ind w:left="900" w:hanging="271"/>
      </w:pPr>
      <w:r>
        <w:rPr>
          <w:rFonts w:ascii="Calibri" w:hAnsi="Calibri"/>
          <w:b w:val="0"/>
          <w:i w:val="0"/>
          <w:color w:val="1F2933"/>
          <w:sz w:val="21"/>
        </w:rPr>
        <w:t>Grounding: Every decision includes tool evidence and at least one policy reference.</w:t>
      </w:r>
    </w:p>
    <w:p>
      <w:pPr>
        <w:pStyle w:val="ListBullet2"/>
        <w:spacing w:after="60" w:line="288" w:lineRule="auto"/>
        <w:ind w:left="900" w:hanging="271"/>
      </w:pPr>
      <w:r>
        <w:rPr>
          <w:rFonts w:ascii="Calibri" w:hAnsi="Calibri"/>
          <w:b w:val="0"/>
          <w:i w:val="0"/>
          <w:color w:val="1F2933"/>
          <w:sz w:val="21"/>
        </w:rPr>
        <w:t>Orchestration: LangGraph contains explicit routing and a quality gate.</w:t>
      </w:r>
    </w:p>
    <w:p>
      <w:pPr>
        <w:pStyle w:val="ListBullet2"/>
        <w:spacing w:after="60" w:line="288" w:lineRule="auto"/>
        <w:ind w:left="900" w:hanging="271"/>
      </w:pPr>
      <w:r>
        <w:rPr>
          <w:rFonts w:ascii="Calibri" w:hAnsi="Calibri"/>
          <w:b w:val="0"/>
          <w:i w:val="0"/>
          <w:color w:val="1F2933"/>
          <w:sz w:val="21"/>
        </w:rPr>
        <w:t>Resilience: Invalid identifiers and the transient failure are handled without fabrication.</w:t>
      </w:r>
    </w:p>
    <w:p>
      <w:pPr>
        <w:pStyle w:val="ListBullet2"/>
        <w:spacing w:after="60" w:line="288" w:lineRule="auto"/>
        <w:ind w:left="900" w:hanging="271"/>
      </w:pPr>
      <w:r>
        <w:rPr>
          <w:rFonts w:ascii="Calibri" w:hAnsi="Calibri"/>
          <w:b w:val="0"/>
          <w:i w:val="0"/>
          <w:color w:val="1F2933"/>
          <w:sz w:val="21"/>
        </w:rPr>
        <w:t>Evaluation: All four cases run; assertions and exported artifacts are produced.</w:t>
      </w:r>
    </w:p>
    <w:p>
      <w:pPr>
        <w:pStyle w:val="ListBullet2"/>
        <w:spacing w:after="60" w:line="288" w:lineRule="auto"/>
        <w:ind w:left="900" w:hanging="271"/>
      </w:pPr>
      <w:r>
        <w:rPr>
          <w:rFonts w:ascii="Calibri" w:hAnsi="Calibri"/>
          <w:b w:val="0"/>
          <w:i w:val="0"/>
          <w:color w:val="1F2933"/>
          <w:sz w:val="21"/>
        </w:rPr>
        <w:t>Scope control: Do not build a UI, database, authentication layer or production MCP server; deliver an executable vertical slice within two hours.</w:t>
      </w:r>
    </w:p>
    <w:p>
      <w:pPr>
        <w:pStyle w:val="Heading1"/>
      </w:pPr>
      <w:r>
        <w:t>5. Expected output</w:t>
      </w:r>
    </w:p>
    <w:p>
      <w:pPr>
        <w:spacing w:after="120" w:line="300" w:lineRule="auto"/>
      </w:pPr>
      <w:r>
        <w:rPr>
          <w:rFonts w:ascii="Calibri" w:hAnsi="Calibri"/>
          <w:b w:val="0"/>
          <w:i w:val="0"/>
          <w:color w:val="1F2933"/>
          <w:sz w:val="22"/>
        </w:rPr>
        <w:t>Your notebook should finish with a compact result table similar to the following. Exact confidence values may differ if your decision rules are justified.</w:t>
      </w:r>
    </w:p>
    <w:tbl>
      <w:tblPr>
        <w:tblW w:type="dxa" w:w="9360"/>
        <w:jc w:val="left"/>
        <w:tblLayout w:type="fixed"/>
        <w:tblLook w:firstColumn="1" w:firstRow="1" w:lastColumn="0" w:lastRow="0" w:noHBand="0" w:noVBand="1" w:val="04A0"/>
        <w:tblInd w:type="dxa" w:w="120"/>
      </w:tblPr>
      <w:tblGrid>
        <w:gridCol w:w="1000"/>
        <w:gridCol w:w="2780"/>
        <w:gridCol w:w="900"/>
        <w:gridCol w:w="1950"/>
        <w:gridCol w:w="2730"/>
      </w:tblGrid>
      <w:tr>
        <w:trPr>
          <w:tblHeader w:val="true"/>
          <w:cantSplit/>
        </w:trPr>
        <w:tc>
          <w:tcPr>
            <w:tcW w:type="dxa" w:w="10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CASE</w:t>
            </w:r>
          </w:p>
        </w:tc>
        <w:tc>
          <w:tcPr>
            <w:tcW w:type="dxa" w:w="278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ACTION</w:t>
            </w:r>
          </w:p>
        </w:tc>
        <w:tc>
          <w:tcPr>
            <w:tcW w:type="dxa" w:w="90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CONF.</w:t>
            </w:r>
          </w:p>
        </w:tc>
        <w:tc>
          <w:tcPr>
            <w:tcW w:type="dxa" w:w="195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POLICY</w:t>
            </w:r>
          </w:p>
        </w:tc>
        <w:tc>
          <w:tcPr>
            <w:tcW w:type="dxa" w:w="2730"/>
            <w:shd w:fill="17365D"/>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pPr>
            <w:r>
              <w:rPr>
                <w:rFonts w:ascii="Calibri" w:hAnsi="Calibri"/>
                <w:b/>
                <w:i w:val="0"/>
                <w:color w:val="FFFFFF"/>
                <w:sz w:val="18"/>
              </w:rPr>
              <w:t>RISK FLAGS</w:t>
            </w:r>
          </w:p>
        </w:tc>
      </w:tr>
      <w:tr>
        <w:trPr>
          <w:cantSplit/>
        </w:trPr>
        <w:tc>
          <w:tcPr>
            <w:tcW w:type="dxa" w:w="10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EX-101</w:t>
            </w:r>
          </w:p>
        </w:tc>
        <w:tc>
          <w:tcPr>
            <w:tcW w:type="dxa" w:w="278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REPLENISH_FROM_BACKROOM</w:t>
            </w:r>
          </w:p>
        </w:tc>
        <w:tc>
          <w:tcPr>
            <w:tcW w:type="dxa" w:w="9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0.95</w:t>
            </w:r>
          </w:p>
        </w:tc>
        <w:tc>
          <w:tcPr>
            <w:tcW w:type="dxa" w:w="19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POL-INV-01</w:t>
            </w:r>
          </w:p>
        </w:tc>
        <w:tc>
          <w:tcPr>
            <w:tcW w:type="dxa" w:w="273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w:t>
            </w:r>
          </w:p>
        </w:tc>
      </w:tr>
      <w:tr>
        <w:trPr>
          <w:cantSplit/>
        </w:trPr>
        <w:tc>
          <w:tcPr>
            <w:tcW w:type="dxa" w:w="10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EX-102</w:t>
            </w:r>
          </w:p>
        </w:tc>
        <w:tc>
          <w:tcPr>
            <w:tcW w:type="dxa" w:w="278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WAIT_FOR_INBOUND</w:t>
            </w:r>
          </w:p>
        </w:tc>
        <w:tc>
          <w:tcPr>
            <w:tcW w:type="dxa" w:w="9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0.91</w:t>
            </w:r>
          </w:p>
        </w:tc>
        <w:tc>
          <w:tcPr>
            <w:tcW w:type="dxa" w:w="19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POL-INB-02</w:t>
            </w:r>
          </w:p>
        </w:tc>
        <w:tc>
          <w:tcPr>
            <w:tcW w:type="dxa" w:w="273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w:t>
            </w:r>
          </w:p>
        </w:tc>
      </w:tr>
      <w:tr>
        <w:trPr>
          <w:cantSplit/>
        </w:trPr>
        <w:tc>
          <w:tcPr>
            <w:tcW w:type="dxa" w:w="10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EX-103</w:t>
            </w:r>
          </w:p>
        </w:tc>
        <w:tc>
          <w:tcPr>
            <w:tcW w:type="dxa" w:w="278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TRANSFER_FROM_NEARBY_STORE</w:t>
            </w:r>
          </w:p>
        </w:tc>
        <w:tc>
          <w:tcPr>
            <w:tcW w:type="dxa" w:w="90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0.88</w:t>
            </w:r>
          </w:p>
        </w:tc>
        <w:tc>
          <w:tcPr>
            <w:tcW w:type="dxa" w:w="195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POL-TRN-03</w:t>
            </w:r>
          </w:p>
        </w:tc>
        <w:tc>
          <w:tcPr>
            <w:tcW w:type="dxa" w:w="2730"/>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w:t>
            </w:r>
          </w:p>
        </w:tc>
      </w:tr>
      <w:tr>
        <w:trPr>
          <w:cantSplit/>
        </w:trPr>
        <w:tc>
          <w:tcPr>
            <w:tcW w:type="dxa" w:w="10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EX-104</w:t>
            </w:r>
          </w:p>
        </w:tc>
        <w:tc>
          <w:tcPr>
            <w:tcW w:type="dxa" w:w="278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REPLENISH_FROM_BACKROOM</w:t>
            </w:r>
          </w:p>
        </w:tc>
        <w:tc>
          <w:tcPr>
            <w:tcW w:type="dxa" w:w="90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0.72</w:t>
            </w:r>
          </w:p>
        </w:tc>
        <w:tc>
          <w:tcPr>
            <w:tcW w:type="dxa" w:w="195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POL-INV-01; POL-SAF-05</w:t>
            </w:r>
          </w:p>
        </w:tc>
        <w:tc>
          <w:tcPr>
            <w:tcW w:type="dxa" w:w="2730"/>
            <w:shd w:fill="F8FAFC"/>
            <w:tcBorders>
              <w:top w:val="single" w:sz="5" w:color="D6DEE8"/>
              <w:left w:val="single" w:sz="5" w:color="D6DEE8"/>
              <w:bottom w:val="single" w:sz="5" w:color="D6DEE8"/>
              <w:right w:val="single" w:sz="5" w:color="D6DEE8"/>
            </w:tcBorders>
            <w:vAlign w:val="center"/>
            <w:tcMar>
              <w:top w:w="80" w:type="dxa"/>
              <w:bottom w:w="80" w:type="dxa"/>
              <w:start w:w="120" w:type="dxa"/>
              <w:end w:w="120" w:type="dxa"/>
            </w:tcMar>
          </w:tcPr>
          <w:p>
            <w:pPr>
              <w:spacing w:after="20" w:line="252" w:lineRule="auto"/>
            </w:pPr>
            <w:r>
              <w:rPr>
                <w:rFonts w:ascii="Calibri" w:hAnsi="Calibri"/>
                <w:b w:val="0"/>
                <w:i w:val="0"/>
                <w:color w:val="1F2933"/>
                <w:sz w:val="17"/>
              </w:rPr>
              <w:t>INVENTORY_CACHE_USED; VERIFY_BEFORE_ACTION</w:t>
            </w:r>
          </w:p>
        </w:tc>
      </w:tr>
    </w:tbl>
    <w:p>
      <w:pPr>
        <w:spacing w:after="40"/>
      </w:pPr>
    </w:p>
    <w:p>
      <w:pPr>
        <w:pStyle w:val="Heading2"/>
      </w:pPr>
      <w:r>
        <w:t>Example typed decision</w:t>
      </w:r>
    </w:p>
    <w:p>
      <w:pPr>
        <w:spacing w:after="160" w:line="252" w:lineRule="auto"/>
        <w:ind w:left="360"/>
      </w:pPr>
      <w:r>
        <w:rPr>
          <w:rFonts w:ascii="Courier New" w:hAnsi="Courier New"/>
          <w:b w:val="0"/>
          <w:i w:val="0"/>
          <w:color w:val="17365D"/>
          <w:sz w:val="18"/>
        </w:rPr>
        <w:t>{</w:t>
        <w:br/>
        <w:t xml:space="preserve">  "case_id": "EX-104",</w:t>
        <w:br/>
        <w:t xml:space="preserve">  "action": "REPLENISH_FROM_BACKROOM",</w:t>
        <w:br/>
        <w:t xml:space="preserve">  "confidence": 0.72,</w:t>
        <w:br/>
        <w:t xml:space="preserve">  "policy_refs": ["POL-INV-01", "POL-SAF-05"],</w:t>
        <w:br/>
        <w:t xml:space="preserve">  "risk_flags": ["INVENTORY_CACHE_USED", "VERIFY_BEFORE_ACTION"],</w:t>
        <w:br/>
        <w:t xml:space="preserve">  "escalation_required": true</w:t>
        <w:br/>
        <w:t>}</w:t>
      </w:r>
    </w:p>
    <w:p>
      <w:pPr>
        <w:pStyle w:val="Heading1"/>
      </w:pPr>
      <w:r>
        <w:t>Submission checklist</w:t>
      </w:r>
    </w:p>
    <w:p>
      <w:pPr>
        <w:pStyle w:val="ListBullet"/>
        <w:spacing w:after="80" w:line="300" w:lineRule="auto"/>
        <w:ind w:left="540" w:hanging="271"/>
      </w:pPr>
      <w:r>
        <w:rPr>
          <w:rFonts w:ascii="Calibri" w:hAnsi="Calibri"/>
          <w:b w:val="0"/>
          <w:i w:val="0"/>
          <w:color w:val="1F2933"/>
          <w:sz w:val="22"/>
        </w:rPr>
        <w:t>Notebook runs from top to bottom without manual repair.</w:t>
      </w:r>
    </w:p>
    <w:p>
      <w:pPr>
        <w:pStyle w:val="ListBullet"/>
        <w:spacing w:after="80" w:line="300" w:lineRule="auto"/>
        <w:ind w:left="540" w:hanging="271"/>
      </w:pPr>
      <w:r>
        <w:rPr>
          <w:rFonts w:ascii="Calibri" w:hAnsi="Calibri"/>
          <w:b w:val="0"/>
          <w:i w:val="0"/>
          <w:color w:val="1F2933"/>
          <w:sz w:val="22"/>
        </w:rPr>
        <w:t>All four test cases and assertions pass.</w:t>
      </w:r>
    </w:p>
    <w:p>
      <w:pPr>
        <w:pStyle w:val="ListBullet"/>
        <w:spacing w:after="80" w:line="300" w:lineRule="auto"/>
        <w:ind w:left="540" w:hanging="271"/>
      </w:pPr>
      <w:r>
        <w:rPr>
          <w:rFonts w:ascii="Calibri" w:hAnsi="Calibri"/>
          <w:b w:val="0"/>
          <w:i w:val="0"/>
          <w:color w:val="1F2933"/>
          <w:sz w:val="22"/>
        </w:rPr>
        <w:t>The graph design and architecture choice are explained in Markdown.</w:t>
      </w:r>
    </w:p>
    <w:p>
      <w:pPr>
        <w:pStyle w:val="ListBullet"/>
        <w:spacing w:after="80" w:line="300" w:lineRule="auto"/>
        <w:ind w:left="540" w:hanging="271"/>
      </w:pPr>
      <w:r>
        <w:rPr>
          <w:rFonts w:ascii="Calibri" w:hAnsi="Calibri"/>
          <w:b w:val="0"/>
          <w:i w:val="0"/>
          <w:color w:val="1F2933"/>
          <w:sz w:val="22"/>
        </w:rPr>
        <w:t>No recommendation is based on an invented fact.</w:t>
      </w:r>
    </w:p>
    <w:p>
      <w:pPr>
        <w:pStyle w:val="ListBullet"/>
        <w:spacing w:after="80" w:line="300" w:lineRule="auto"/>
        <w:ind w:left="540" w:hanging="271"/>
      </w:pPr>
      <w:r>
        <w:rPr>
          <w:rFonts w:ascii="Calibri" w:hAnsi="Calibri"/>
          <w:b w:val="0"/>
          <w:i w:val="0"/>
          <w:color w:val="1F2933"/>
          <w:sz w:val="22"/>
        </w:rPr>
        <w:t>retail_exception_results.json and retail_exception_summary.md are exported.</w:t>
      </w:r>
    </w:p>
    <w:p>
      <w:pPr>
        <w:pStyle w:val="ListBullet"/>
        <w:spacing w:after="80" w:line="300" w:lineRule="auto"/>
        <w:ind w:left="540" w:hanging="271"/>
      </w:pPr>
      <w:r>
        <w:rPr>
          <w:rFonts w:ascii="Calibri" w:hAnsi="Calibri"/>
          <w:b w:val="0"/>
          <w:i w:val="0"/>
          <w:color w:val="1F2933"/>
          <w:sz w:val="22"/>
        </w:rPr>
        <w:t>One limitation and one production-hardening recommendation are stated.</w:t>
      </w:r>
    </w:p>
    <w:tbl>
      <w:tblPr>
        <w:tblW w:type="dxa" w:w="9120"/>
        <w:jc w:val="left"/>
        <w:tblLayout w:type="fixed"/>
        <w:tblLook w:firstColumn="1" w:firstRow="1" w:lastColumn="0" w:lastRow="0" w:noHBand="0" w:noVBand="1" w:val="04A0"/>
        <w:tblInd w:type="dxa" w:w="120"/>
      </w:tblPr>
      <w:tblGrid>
        <w:gridCol w:w="9120"/>
      </w:tblGrid>
      <w:tr>
        <w:trPr>
          <w:tblHeader w:val="true"/>
          <w:cantSplit/>
        </w:trPr>
        <w:tc>
          <w:tcPr>
            <w:tcW w:type="dxa" w:w="9120"/>
            <w:shd w:fill="EAF5EF"/>
            <w:tcBorders>
              <w:top w:val="single" w:sz="5" w:color="EAF5EF"/>
              <w:left w:val="single" w:sz="5" w:color="EAF5EF"/>
              <w:bottom w:val="single" w:sz="5" w:color="EAF5EF"/>
              <w:right w:val="single" w:sz="5" w:color="EAF5EF"/>
            </w:tcBorders>
            <w:vAlign w:val="center"/>
            <w:tcMar>
              <w:top w:w="80" w:type="dxa"/>
              <w:bottom w:w="80" w:type="dxa"/>
              <w:start w:w="120" w:type="dxa"/>
              <w:end w:w="120" w:type="dxa"/>
            </w:tcMar>
          </w:tcPr>
          <w:p>
            <w:pPr>
              <w:spacing w:before="120" w:after="120" w:line="276" w:lineRule="auto"/>
            </w:pPr>
            <w:r>
              <w:rPr>
                <w:rFonts w:ascii="Calibri" w:hAnsi="Calibri"/>
                <w:b/>
                <w:i w:val="0"/>
                <w:color w:val="2E6B4F"/>
                <w:sz w:val="22"/>
              </w:rPr>
              <w:t xml:space="preserve">SUCCESS STANDARD  </w:t>
            </w:r>
            <w:r>
              <w:rPr>
                <w:rFonts w:ascii="Calibri" w:hAnsi="Calibri"/>
                <w:b w:val="0"/>
                <w:i w:val="0"/>
                <w:color w:val="1F2933"/>
                <w:sz w:val="22"/>
              </w:rPr>
              <w:t>A strong submission is not the one with the most agents. It is the one that makes the smallest justified architecture reliable, observable and safe.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6"/>
        <w:sz w:val="16"/>
      </w:rPr>
      <w:t xml:space="preserve">Shelf Availability Exception Resolution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F6B76"/>
        <w:sz w:val="17"/>
      </w:rPr>
      <w:t>APPLIED AGENTIC AI  |  RETAIL ENGINEERING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71C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Agentic AI Retail Assignment — Shelf Availability Exception Resolution</dc:title>
  <dc:subject>Two-hour participant assignment aligned to the taught Walmart USA B1 curriculum</dc:subject>
  <dc:creator>Dr Darshan Ingle</dc:creator>
  <cp:keywords/>
  <dc:description>Participant assignment brief; no solution content included.</dc:description>
  <cp:lastModifiedBy/>
  <cp:revision>1</cp:revision>
  <dcterms:created xsi:type="dcterms:W3CDTF">2013-12-23T23:15:00Z</dcterms:created>
  <dcterms:modified xsi:type="dcterms:W3CDTF">2013-12-23T23:15:00Z</dcterms:modified>
  <cp:category/>
</cp:coreProperties>
</file>