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용역계약서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외주·프리랜서·도급 계약에 사용하는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위탁자(갑)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수탁자(을)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용역명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용역기간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용역장소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제1조 (목적)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"갑"은 "을"에게 아래와 같은 용역을 위탁하고 "을"은 이를 수행함을 목적으로 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제2조 (용역내용)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제3조 (용역대금 및 지급방법)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용역대금 총액 :                    원 (부가세 별도/포함)</w:t>
        <w:br/>
      </w:r>
      <w:r>
        <w:rPr>
          <w:rFonts w:ascii="맑은 고딕" w:hAnsi="맑은 고딕" w:eastAsia="맑은 고딕"/>
          <w:b w:val="0"/>
          <w:sz w:val="21"/>
        </w:rPr>
        <w:t>지급방법 :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제4조 (계약기간 및 해지)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 계약은 위 용역기간 동안 유효하며, 어느 일방이 계약을 위반할 경우 상대방은 서면 통지로 계약을 해지할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제5조 (비밀유지)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"갑"과 "을"은 본 계약 수행 중 알게 된 상대방의 비밀정보를 제3자에게 누설하지 아니한다.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(갑) 위탁자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(을) 수탁자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