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br/>
        <w:br/>
      </w:r>
    </w:p>
    <w:p>
      <w:pPr>
        <w:pStyle w:val="Title"/>
        <w:jc w:val="center"/>
      </w:pPr>
      <w:r>
        <w:t>Quantität–Information–Kausalität (QIK)</w:t>
      </w:r>
    </w:p>
    <w:p>
      <w:pPr>
        <w:pStyle w:val="Subtitle"/>
        <w:jc w:val="center"/>
      </w:pPr>
      <w:r>
        <w:t>Ein operationales Rahmenmodell für Ereignisstruktur, Kausalordnung und emergente Raumzeit</w:t>
      </w:r>
    </w:p>
    <w:p/>
    <w:p>
      <w:pPr>
        <w:jc w:val="center"/>
      </w:pPr>
      <w:r>
        <w:rPr>
          <w:rFonts w:ascii="Liberation Sans" w:hAnsi="Liberation Sans"/>
          <w:b/>
          <w:sz w:val="24"/>
        </w:rPr>
        <w:t>Ingolf Lohmann</w:t>
      </w:r>
    </w:p>
    <w:p>
      <w:pPr>
        <w:pStyle w:val="SmallNote"/>
        <w:jc w:val="center"/>
      </w:pPr>
      <w:r>
        <w:t>Wissenschaftlich revidierte Konzeptfassung – zur fachlichen Begutachtung und weiteren Formalisierung</w:t>
      </w:r>
    </w:p>
    <w:p>
      <w:pPr>
        <w:pStyle w:val="SmallNote"/>
        <w:jc w:val="center"/>
      </w:pPr>
      <w:r>
        <w:t>Wissenschaftliche Revision: 23. September 2026</w:t>
      </w:r>
    </w:p>
    <w:p/>
    <w:tbl>
      <w:tblPr>
        <w:tblW w:type="auto" w:w="0"/>
        <w:jc w:val="center"/>
        <w:tblLayout w:type="fixed"/>
        <w:tblLook w:firstColumn="1" w:firstRow="1" w:lastColumn="0" w:lastRow="0" w:noHBand="0" w:noVBand="1" w:val="04A0"/>
      </w:tblPr>
      <w:tblGrid>
        <w:gridCol w:w="9298"/>
      </w:tblGrid>
      <w:tr>
        <w:tc>
          <w:tcPr>
            <w:tcW w:type="dxa" w:w="8220"/>
            <w:shd w:fill="F3F7FA"/>
            <w:tcMar>
              <w:top w:w="180" w:type="dxa"/>
              <w:start w:w="220" w:type="dxa"/>
              <w:bottom w:w="180" w:type="dxa"/>
              <w:end w:w="220" w:type="dxa"/>
            </w:tcMar>
          </w:tcPr>
          <w:p>
            <w:pPr>
              <w:jc w:val="left"/>
            </w:pPr>
            <w:r>
              <w:rPr>
                <w:b/>
              </w:rPr>
              <w:t xml:space="preserve">Wissenschaftlicher Status. </w:t>
            </w:r>
            <w:r>
              <w:t>Diese Fassung behandelt QIK als konzeptionelles Forschungsrahmenwerk. Etablierte Physik, interpretative Lesarten, Hypothesen und noch zu erfüllende Modellanforderungen werden ausdrücklich getrennt. Sie beansprucht keine abgeschlossene Quantengravitationstheorie und keine Ableitung neuer Naturgesetze.</w:t>
            </w:r>
          </w:p>
        </w:tc>
      </w:tr>
    </w:tbl>
    <w:p>
      <w:r>
        <w:br w:type="page"/>
      </w:r>
    </w:p>
    <w:p>
      <w:pPr>
        <w:pStyle w:val="Heading1"/>
      </w:pPr>
      <w:r>
        <w:t>Inhalt</w:t>
      </w:r>
    </w:p>
    <w:p>
      <w:pPr>
        <w:ind w:left="0"/>
      </w:pPr>
      <w:r>
        <w:rPr>
          <w:rFonts w:ascii="Liberation Sans" w:hAnsi="Liberation Sans"/>
          <w:sz w:val="19"/>
        </w:rPr>
        <w:t>1  Zusammenfassung</w:t>
      </w:r>
    </w:p>
    <w:p>
      <w:pPr>
        <w:ind w:left="0"/>
      </w:pPr>
      <w:r>
        <w:rPr>
          <w:rFonts w:ascii="Liberation Sans" w:hAnsi="Liberation Sans"/>
          <w:sz w:val="19"/>
        </w:rPr>
        <w:t>2  Geltungsbereich und wissenschaftlicher Status</w:t>
      </w:r>
    </w:p>
    <w:p>
      <w:pPr>
        <w:ind w:left="0"/>
      </w:pPr>
      <w:r>
        <w:rPr>
          <w:rFonts w:ascii="Liberation Sans" w:hAnsi="Liberation Sans"/>
          <w:sz w:val="19"/>
        </w:rPr>
        <w:t>3  Physikalischer Hintergrund</w:t>
      </w:r>
    </w:p>
    <w:p>
      <w:pPr>
        <w:ind w:left="0"/>
      </w:pPr>
      <w:r>
        <w:rPr>
          <w:rFonts w:ascii="Liberation Sans" w:hAnsi="Liberation Sans"/>
          <w:sz w:val="19"/>
        </w:rPr>
        <w:t>4  QIK: Begriffe und mathematischer Kern</w:t>
      </w:r>
    </w:p>
    <w:p>
      <w:pPr>
        <w:ind w:left="0"/>
      </w:pPr>
      <w:r>
        <w:rPr>
          <w:rFonts w:ascii="Liberation Sans" w:hAnsi="Liberation Sans"/>
          <w:sz w:val="19"/>
        </w:rPr>
        <w:t>5  Postulate und logische Abhängigkeiten</w:t>
      </w:r>
    </w:p>
    <w:p>
      <w:pPr>
        <w:ind w:left="0"/>
      </w:pPr>
      <w:r>
        <w:rPr>
          <w:rFonts w:ascii="Liberation Sans" w:hAnsi="Liberation Sans"/>
          <w:sz w:val="19"/>
        </w:rPr>
        <w:t>6  Rekonstruktion effektiver Raumzeit</w:t>
      </w:r>
    </w:p>
    <w:p>
      <w:pPr>
        <w:ind w:left="0"/>
      </w:pPr>
      <w:r>
        <w:rPr>
          <w:rFonts w:ascii="Liberation Sans" w:hAnsi="Liberation Sans"/>
          <w:sz w:val="19"/>
        </w:rPr>
        <w:t>7  Quantenmechanische Ebene</w:t>
      </w:r>
    </w:p>
    <w:p>
      <w:pPr>
        <w:ind w:left="0"/>
      </w:pPr>
      <w:r>
        <w:rPr>
          <w:rFonts w:ascii="Liberation Sans" w:hAnsi="Liberation Sans"/>
          <w:sz w:val="19"/>
        </w:rPr>
        <w:t>8  Gravitation und Wellenregime</w:t>
      </w:r>
    </w:p>
    <w:p>
      <w:pPr>
        <w:ind w:left="0"/>
      </w:pPr>
      <w:r>
        <w:rPr>
          <w:rFonts w:ascii="Liberation Sans" w:hAnsi="Liberation Sans"/>
          <w:sz w:val="19"/>
        </w:rPr>
        <w:t>9  Empirische und formale Prüfpflichten</w:t>
      </w:r>
    </w:p>
    <w:p>
      <w:pPr>
        <w:ind w:left="0"/>
      </w:pPr>
      <w:r>
        <w:rPr>
          <w:rFonts w:ascii="Liberation Sans" w:hAnsi="Liberation Sans"/>
          <w:sz w:val="19"/>
        </w:rPr>
        <w:t>10  Abgrenzung, Neuheitsanspruch und offene Fragen</w:t>
      </w:r>
    </w:p>
    <w:p>
      <w:pPr>
        <w:ind w:left="0"/>
      </w:pPr>
      <w:r>
        <w:rPr>
          <w:rFonts w:ascii="Liberation Sans" w:hAnsi="Liberation Sans"/>
          <w:sz w:val="19"/>
        </w:rPr>
        <w:t>11  Schluss</w:t>
      </w:r>
    </w:p>
    <w:p>
      <w:pPr>
        <w:ind w:left="0"/>
      </w:pPr>
      <w:r>
        <w:rPr>
          <w:rFonts w:ascii="Liberation Sans" w:hAnsi="Liberation Sans"/>
          <w:sz w:val="19"/>
        </w:rPr>
        <w:t>A  Anhang: Zuordnung zum Ausgangsdokument</w:t>
      </w:r>
    </w:p>
    <w:p>
      <w:pPr>
        <w:ind w:left="0"/>
      </w:pPr>
      <w:r>
        <w:rPr>
          <w:rFonts w:ascii="Liberation Sans" w:hAnsi="Liberation Sans"/>
          <w:sz w:val="19"/>
        </w:rPr>
        <w:t>B  Literatur</w:t>
      </w:r>
    </w:p>
    <w:p>
      <w:r>
        <w:br w:type="page"/>
      </w:r>
    </w:p>
    <w:p>
      <w:pPr>
        <w:pStyle w:val="Heading1"/>
      </w:pPr>
      <w:r>
        <w:t>1 Zusammenfassung</w:t>
      </w:r>
    </w:p>
    <w:p>
      <w:r>
        <w:t>Dieser Beitrag formuliert Quantität–Information–Kausalität (QIK) als operationales Forschungsrahmenwerk für eine ereignisbasierte Beschreibung physikalischer Strukturen. Ausgangspunkte sind drei gut etablierte Beobachtungen: Erstens besitzt die Relativitätstheorie keine bezugssysteminvariante globale Simultanität für raumartig getrennte Ereignisse; zweitens werden physikalische Messresultate als lokale, endliche Records zugänglich; drittens sind quantenmechanische Vorhersagen durch Wahrscheinlichkeitsstrukturen charakterisiert, deren räumlich getrennte Korrelationen Bell-Ungleichungen verletzen können, ohne kontrollierbare Überlichtsignale zu erlauben. QIK ergänzt diese Ausgangspunkte um eine klar als Hypothese ausgewiesene kinematische Annahme: Eine fundamentale Beschreibung könne durch Ereignisse, eine Kausalordnung, eine Maß-/Zählstruktur und lokale Wahrscheinlichkeitszuweisungen organisiert werden.</w:t>
      </w:r>
    </w:p>
    <w:p>
      <w:r>
        <w:t>Die Arbeit beansprucht weder eine abgeschlossene Theorie der Quantengravitation noch einen Beweis fundamentaler Diskretheit. Insbesondere wird die Planck-Skala als natürlicher Kandidat für einen Regimewechsel der Operationalität behandelt, nicht als empirisch bestätigte Mindestlänge. Die zentrale Forschungsaufgabe besteht darin, eine Dynamik und Rekonstruktionsabbildung anzugeben, die im geeigneten Grobkornlimit eine Lorentzsche Raumzeit, die quantenmechanischen Korrelationsstrukturen und den klassischen Gravitationsgrenzfall reproduziert. Der Beitrag trennt daher etablierte Hintergrundresultate, Definitionen, Interpretationen, Hypothesen und Modellpflichten explizit.</w:t>
      </w:r>
    </w:p>
    <w:p>
      <w:pPr>
        <w:pStyle w:val="Heading1"/>
      </w:pPr>
      <w:r>
        <w:t>2 Geltungsbereich und wissenschaftlicher Status</w:t>
      </w:r>
    </w:p>
    <w:p>
      <w:r>
        <w:t>QIK wird hier bewusst nicht als Behauptung „neuer Naturgesetze“ verstanden. Der Ansatz ist eine Strukturierung bekannter und hypothetischer Bausteine. Seine wissenschaftliche Qualität hängt deshalb an zwei Kriterien: (i) Begriffe und Schlussbeziehungen müssen so präzise sein, dass keine Hypothese als Ableitung aus etablierter Physik erscheint; (ii) ein späteres konkretes Modell muss quantitative Benchmarks erfüllen und prinzipiell falsifizierbare Abweichungen oder zusätzliche Erklärungsleistungen liefern.</w:t>
      </w:r>
    </w:p>
    <w:p>
      <w:r>
        <w:t>Vier Aussageklassen werden unterschieden: B (Background: etablierte Fachgrundlage), D (Definition: im Rahmen gesetzte Begriffsbestimmung), I (Interpretation: mit etablierter Theorie kompatible, aber nicht erzwungene Lesart), H (Hypothese: zusätzliche physikalische Annahme) sowie R (Requirement: Prüfpflicht eines vollständigen Modells). Diese Statusmarkierung ist Teil des formalen Designs des Rahmens.</w:t>
      </w:r>
    </w:p>
    <w:p>
      <w:pPr>
        <w:pStyle w:val="Heading1"/>
      </w:pPr>
      <w:r>
        <w:t>3 Physikalischer Hintergrund</w:t>
      </w:r>
    </w:p>
    <w:p>
      <w:pPr>
        <w:pStyle w:val="Heading2"/>
      </w:pPr>
      <w:r>
        <w:t>3.1 Relativität: Kausalität statt globalem Jetzt</w:t>
      </w:r>
    </w:p>
    <w:p>
      <w:r>
        <w:t>[B1] Für raumartig getrennte Ereignisse gibt es keine bezugssysteminvariante Simultanitätsrelation. Eine globale Zeitkoordinate ist daher koordinaten- bzw. foliationsabhängig. Demgegenüber sind Eigenzeit entlang einer Weltlinie und die kausale Erreichbarkeitsstruktur geometrisch ausgezeichnete Größen. Daraus folgt methodisch, dass eine fundamentale Formulierung nicht auf einem privilegierten globalen „Jetzt“ beruhen sollte.</w:t>
      </w:r>
    </w:p>
    <w:p>
      <w:r>
        <w:t>Diese Aussage rechtfertigt jedoch noch keine diskrete Ontologie. Sie motiviert lediglich eine Formulierung, in der lokale Ereignisse, kausale Relationen und kovariant definierte Größen zentrale Rollen spielen.</w:t>
      </w:r>
    </w:p>
    <w:p>
      <w:pPr>
        <w:pStyle w:val="Heading2"/>
      </w:pPr>
      <w:r>
        <w:t>3.2 Operationalität: Messresultate als Records</w:t>
      </w:r>
    </w:p>
    <w:p>
      <w:r>
        <w:t>[B2/D1] Experimentelle Physik wird über endliche Protokolle zugänglich: Detektorklicks, Übergänge, Zeitstempel, Zählerstände oder digitalisierte Messwerte. Der Begriff Record bezeichnet hier einen reproduzierbar interpretierbaren empirischen Eintrag. Die Aussage „Messung endet in Records“ ist schwächer und präziser als die ontologische Behauptung „nur Zählbares existiert“. QIK verwendet das Record-Prinzip als Operationalisierung, nicht als Beweis für eine diskrete Natur der Welt.</w:t>
      </w:r>
    </w:p>
    <w:p>
      <w:pPr>
        <w:pStyle w:val="Heading2"/>
      </w:pPr>
      <w:r>
        <w:t>3.3 Quantenmechanik: Statistik, Interferenz und Korrelation</w:t>
      </w:r>
    </w:p>
    <w:p>
      <w:r>
        <w:t>[B3] Quantenmechanische Vorhersagen sind Wahrscheinlichkeitszuweisungen für Messergebnisse. Interferenz zeigt, dass diese Vorhersagen nicht durch eine einfache klassische Mischung exklusiver Alternativen ersetzt werden können. Bell-Theoreme und Experimente schließen breite Klassen lokaler Hidden-Variable-Erklärungen aus; gleichzeitig erlaubt Standard-Quantenmechanik keine kontrollierbare Überlichtsignalisierung.</w:t>
      </w:r>
    </w:p>
    <w:p>
      <w:r>
        <w:t>[I1] Die im Ausgangsdokument verwendete Kurzform „Welle = Struktur der Möglichkeiten, Teilchen = diskrete Aufzeichnung“ wird als operationale Interpretation beibehalten. Sie ist didaktisch nützlich, aber keine einzigartige ontologische Konsequenz des Quantenformalismus.</w:t>
      </w:r>
    </w:p>
    <w:p>
      <w:pPr>
        <w:pStyle w:val="Heading2"/>
      </w:pPr>
      <w:r>
        <w:t>3.4 Planck-Skala und Quantengravitation</w:t>
      </w:r>
    </w:p>
    <w:p>
      <w:r>
        <w:t>[B4/H0] Die Planck-Größen kombinieren ℏ, G und c und markieren einen natürlichen Skalenbereich, in dem eine gemeinsame Beschreibung von Quantentheorie und Gravitation erwartet wird. Verschiedene Quantengravitationsansätze motivieren minimale oder effektiv begrenzte Auflösungen, doch ist eine universelle minimale Länge weder experimentell bestätigt noch ein modellunabhängiger Satz. QIK behandelt die Planck-Skala deshalb als Hypothesen- und Suchbereich, nicht als bereits nachgewiesene „Kante“.</w:t>
      </w:r>
    </w:p>
    <w:p>
      <w:pPr>
        <w:pStyle w:val="Equation"/>
        <w:jc w:val="center"/>
      </w:pPr>
      <w:r>
        <w:rPr>
          <w:rFonts w:ascii="DejaVu Serif" w:hAnsi="DejaVu Serif"/>
          <w:sz w:val="21"/>
        </w:rPr>
        <w:t>ℓₚ = √(ℏG/c³),        tₚ = √(ℏG/c⁵)</w:t>
      </w:r>
      <w:r>
        <w:rPr>
          <w:rFonts w:ascii="Liberation Sans" w:hAnsi="Liberation Sans"/>
          <w:sz w:val="18"/>
        </w:rPr>
        <w:t xml:space="preserve">    (1)</w:t>
      </w:r>
    </w:p>
    <w:p>
      <w:pPr>
        <w:pStyle w:val="Heading1"/>
      </w:pPr>
      <w:r>
        <w:t>4 QIK: Begriffe und mathematischer Kern</w:t>
      </w:r>
    </w:p>
    <w:p>
      <w:r>
        <w:t>Der minimale QIK-Träger wird als Tupel formuliert:</w:t>
      </w:r>
    </w:p>
    <w:p>
      <w:pPr>
        <w:pStyle w:val="Equation"/>
        <w:jc w:val="center"/>
      </w:pPr>
      <w:r>
        <w:rPr>
          <w:rFonts w:ascii="DejaVu Serif" w:hAnsi="DejaVu Serif"/>
          <w:sz w:val="21"/>
        </w:rPr>
        <w:t>𝒬 = (E, ≺, μ, 𝓜, P, Π).</w:t>
      </w:r>
      <w:r>
        <w:rPr>
          <w:rFonts w:ascii="Liberation Sans" w:hAnsi="Liberation Sans"/>
          <w:sz w:val="18"/>
        </w:rPr>
        <w:t xml:space="preserve">    (2)</w:t>
      </w:r>
    </w:p>
    <w:p>
      <w:pPr>
        <w:pStyle w:val="Heading2"/>
      </w:pPr>
      <w:r>
        <w:t>4.1 Ereignisse und Kausalordnung</w:t>
      </w:r>
    </w:p>
    <w:p>
      <w:r>
        <w:t>[D2] E ist eine Menge elementarer Ereignismarker. Die Relation ≺ ⊂ E×E wird als strikte Kausalordnung gelesen. Für alle e,f,g ∈ E gelten Irreflexivität und Transitivität:</w:t>
      </w:r>
    </w:p>
    <w:p>
      <w:pPr>
        <w:pStyle w:val="Equation"/>
        <w:jc w:val="center"/>
      </w:pPr>
      <w:r>
        <w:rPr>
          <w:rFonts w:ascii="DejaVu Serif" w:hAnsi="DejaVu Serif"/>
          <w:sz w:val="21"/>
        </w:rPr>
        <w:t>¬(e ≺ e),        (e ≺ f ∧ f ≺ g) ⇒ e ≺ g.</w:t>
      </w:r>
      <w:r>
        <w:rPr>
          <w:rFonts w:ascii="Liberation Sans" w:hAnsi="Liberation Sans"/>
          <w:sz w:val="18"/>
        </w:rPr>
        <w:t xml:space="preserve">    (3)</w:t>
      </w:r>
    </w:p>
    <w:p>
      <w:r>
        <w:t>Ist weder e ≺ f noch f ≺ e gegeben, sind die Ereignisse in der QIK-Kausalordnung unvergleichbar. Diese Unvergleichbarkeit wird nicht automatisch mit einer bestimmten metrischen Raumartigkeit identifiziert; eine solche Identifikation gehört erst zur Rekonstruktion.</w:t>
      </w:r>
    </w:p>
    <w:p>
      <w:r>
        <w:t>[H1] Lokale Endlichkeit kann als zusätzliche Hypothese eingeführt werden:</w:t>
      </w:r>
    </w:p>
    <w:p>
      <w:pPr>
        <w:pStyle w:val="Equation"/>
        <w:jc w:val="center"/>
      </w:pPr>
      <w:r>
        <w:rPr>
          <w:rFonts w:ascii="DejaVu Serif" w:hAnsi="DejaVu Serif"/>
          <w:sz w:val="21"/>
        </w:rPr>
        <w:t>e ≺ f ⇒ |I(e,f)| &lt; ∞,     I(e,f) := {x ∈ E | e ≺ x ≺ f}.</w:t>
      </w:r>
      <w:r>
        <w:rPr>
          <w:rFonts w:ascii="Liberation Sans" w:hAnsi="Liberation Sans"/>
          <w:sz w:val="18"/>
        </w:rPr>
        <w:t xml:space="preserve">    (4)</w:t>
      </w:r>
    </w:p>
    <w:p>
      <w:r>
        <w:t>Diese Struktur entspricht in wesentlichen kinematischen Zügen dem Causal-Set-Ansatz. QIK beansprucht diese Poset-Struktur daher nicht als originäre Erfindung, sondern verwendet sie als etablierte Vergleichs- und Anschlussstruktur.</w:t>
      </w:r>
    </w:p>
    <w:p>
      <w:pPr>
        <w:pStyle w:val="Heading2"/>
      </w:pPr>
      <w:r>
        <w:t>4.2 Quantität</w:t>
      </w:r>
    </w:p>
    <w:p>
      <w:r>
        <w:t>[D3] Quantität bezeichnet die mess- oder zählbare Maßstruktur μ. Im streng diskreten Spezialfall kann eine Ereignisanzahl N(A)=|A| verwendet werden. Eine Proportionalität zwischen Ereignisanzahl und physikalischem Volumen ist jedoch eine zusätzliche Einbettungs-/Kalibrierungsannahme, keine reine Mengenidentität.</w:t>
      </w:r>
    </w:p>
    <w:p>
      <w:pPr>
        <w:pStyle w:val="Equation"/>
        <w:jc w:val="center"/>
      </w:pPr>
      <w:r>
        <w:rPr>
          <w:rFonts w:ascii="DejaVu Serif" w:hAnsi="DejaVu Serif"/>
          <w:sz w:val="21"/>
        </w:rPr>
        <w:t>N(A) := |A|,        μ(A) = α·N(A)  (nur unter geeigneter Kalibrierung).</w:t>
      </w:r>
      <w:r>
        <w:rPr>
          <w:rFonts w:ascii="Liberation Sans" w:hAnsi="Liberation Sans"/>
          <w:sz w:val="18"/>
        </w:rPr>
        <w:t xml:space="preserve">    (5)</w:t>
      </w:r>
    </w:p>
    <w:p>
      <w:pPr>
        <w:pStyle w:val="Heading2"/>
      </w:pPr>
      <w:r>
        <w:t>4.3 Information</w:t>
      </w:r>
    </w:p>
    <w:p>
      <w:r>
        <w:t>[D4] Information wird nicht als Stoff oder ontologische Substanz definiert, sondern operational als Unterscheidbarkeit von Record- bzw. Wahrscheinlichkeitsstrukturen. Sind p und q zwei experimentell definierte Verteilungen, kann ihre Unterscheidbarkeit durch ein geeignetes Informationsmaß I(p,q) quantifiziert werden. Welches Maß physikalisch relevant ist, hängt von der Aufgabenstellung ab; beispielsweise kann relative Entropie verwendet werden, sofern die Voraussetzungen erfüllt sind.</w:t>
      </w:r>
    </w:p>
    <w:p>
      <w:pPr>
        <w:pStyle w:val="Equation"/>
        <w:jc w:val="center"/>
      </w:pPr>
      <w:r>
        <w:rPr>
          <w:rFonts w:ascii="DejaVu Serif" w:hAnsi="DejaVu Serif"/>
          <w:sz w:val="21"/>
        </w:rPr>
        <w:t>I(p,q) := D(p || q)   oder allgemeiner eine operational begründete Divergenz.</w:t>
      </w:r>
      <w:r>
        <w:rPr>
          <w:rFonts w:ascii="Liberation Sans" w:hAnsi="Liberation Sans"/>
          <w:sz w:val="18"/>
        </w:rPr>
        <w:t xml:space="preserve">    (6)</w:t>
      </w:r>
    </w:p>
    <w:p>
      <w:r>
        <w:t>Damit wird der programmatische Gedanke „Information first“ in eine wissenschaftlich prüfbare Form überführt: Nicht „Information als Substanz“ wird postuliert, sondern eine explizite Struktur der Unterscheidbarkeit verlangt.</w:t>
      </w:r>
    </w:p>
    <w:p>
      <w:pPr>
        <w:pStyle w:val="Heading2"/>
      </w:pPr>
      <w:r>
        <w:t>4.4 Protokolle und Records</w:t>
      </w:r>
    </w:p>
    <w:p>
      <w:r>
        <w:t>[D5] 𝓜 ist die Menge zulässiger lokaler Mess-/Interventionsprotokolle. Π ordnet einem realisierten Prozess einen endlichen Record zu. P beschreibt die Wahrscheinlichkeitszuweisung an Records unter gegebenen Protokollen. Diese Schicht ist der Anschluss an experimentelle Prüfbarkeit.</w:t>
      </w:r>
    </w:p>
    <w:p>
      <w:pPr>
        <w:pStyle w:val="Equation"/>
        <w:jc w:val="center"/>
      </w:pPr>
      <w:r>
        <w:rPr>
          <w:rFonts w:ascii="DejaVu Serif" w:hAnsi="DejaVu Serif"/>
          <w:sz w:val="21"/>
        </w:rPr>
        <w:t>Π : (physikalischer Messprozess) → r ∈ Σ*,       P(r | M),  M ∈ 𝓜.</w:t>
      </w:r>
      <w:r>
        <w:rPr>
          <w:rFonts w:ascii="Liberation Sans" w:hAnsi="Liberation Sans"/>
          <w:sz w:val="18"/>
        </w:rPr>
        <w:t xml:space="preserve">    (7)</w:t>
      </w:r>
    </w:p>
    <w:p>
      <w:pPr>
        <w:pStyle w:val="Heading2"/>
      </w:pPr>
      <w:r>
        <w:t>4.5 Kausalität und No-Signalling</w:t>
      </w:r>
    </w:p>
    <w:p>
      <w:r>
        <w:t>[D6/R1] Kausalität bezeichnet die Restriktion zulässiger Abhängigkeiten. Für zwei operational kausal unabhängige Regionen A und B soll die Wahl eines lokalen Settings in A die Marginalstatistik in B nicht kontrollierbar verändern und umgekehrt:</w:t>
      </w:r>
    </w:p>
    <w:p>
      <w:pPr>
        <w:pStyle w:val="Equation"/>
        <w:jc w:val="center"/>
      </w:pPr>
      <w:r>
        <w:rPr>
          <w:rFonts w:ascii="DejaVu Serif" w:hAnsi="DejaVu Serif"/>
          <w:sz w:val="21"/>
        </w:rPr>
        <w:t>P(a | x,y) = P(a | x),        P(b | x,y) = P(b | y).</w:t>
      </w:r>
      <w:r>
        <w:rPr>
          <w:rFonts w:ascii="Liberation Sans" w:hAnsi="Liberation Sans"/>
          <w:sz w:val="18"/>
        </w:rPr>
        <w:t xml:space="preserve">    (8)</w:t>
      </w:r>
    </w:p>
    <w:p>
      <w:r>
        <w:t>No-Signalling ist eine notwendige Konsistenzbedingung, aber kein vollständiges Quantengesetz. Es existieren no-signalling-kompatible Korrelationsmodelle, die stärker als die quantenmechanisch erlaubten Korrelationen sind. QIK benötigt deshalb eine zusätzliche Spezifikation der zulässigen Korrelationsmenge.</w:t>
      </w:r>
    </w:p>
    <w:p>
      <w:pPr>
        <w:pStyle w:val="Heading1"/>
      </w:pPr>
      <w:r>
        <w:t>5 Postulate und logische Abhängigkeiten</w:t>
      </w:r>
    </w:p>
    <w:tbl>
      <w:tblPr>
        <w:tblStyle w:val="TableGrid"/>
        <w:tblW w:type="auto" w:w="0"/>
        <w:jc w:val="center"/>
        <w:tblLook w:firstColumn="1" w:firstRow="1" w:lastColumn="0" w:lastRow="0" w:noHBand="0" w:noVBand="1" w:val="04A0"/>
      </w:tblPr>
      <w:tblGrid>
        <w:gridCol w:w="3099"/>
        <w:gridCol w:w="3099"/>
        <w:gridCol w:w="3099"/>
      </w:tblGrid>
      <w:tr>
        <w:tc>
          <w:tcPr>
            <w:tcW w:type="dxa" w:w="737"/>
            <w:shd w:fill="D9EAF7"/>
            <w:vAlign w:val="center"/>
            <w:tcMar>
              <w:top w:w="80" w:type="dxa"/>
              <w:start w:w="80" w:type="dxa"/>
              <w:bottom w:w="80" w:type="dxa"/>
              <w:end w:w="80" w:type="dxa"/>
            </w:tcMar>
          </w:tcPr>
          <w:p>
            <w:r>
              <w:rPr>
                <w:rFonts w:ascii="Liberation Sans" w:hAnsi="Liberation Sans"/>
                <w:b/>
                <w:sz w:val="16"/>
              </w:rPr>
              <w:t>ID</w:t>
            </w:r>
          </w:p>
        </w:tc>
        <w:tc>
          <w:tcPr>
            <w:tcW w:type="dxa" w:w="1304"/>
            <w:shd w:fill="D9EAF7"/>
            <w:vAlign w:val="center"/>
            <w:tcMar>
              <w:top w:w="80" w:type="dxa"/>
              <w:start w:w="80" w:type="dxa"/>
              <w:bottom w:w="80" w:type="dxa"/>
              <w:end w:w="80" w:type="dxa"/>
            </w:tcMar>
          </w:tcPr>
          <w:p>
            <w:r>
              <w:rPr>
                <w:rFonts w:ascii="Liberation Sans" w:hAnsi="Liberation Sans"/>
                <w:b/>
                <w:sz w:val="16"/>
              </w:rPr>
              <w:t>Typ</w:t>
            </w:r>
          </w:p>
        </w:tc>
        <w:tc>
          <w:tcPr>
            <w:tcW w:type="dxa" w:w="7257"/>
            <w:shd w:fill="D9EAF7"/>
            <w:vAlign w:val="center"/>
            <w:tcMar>
              <w:top w:w="80" w:type="dxa"/>
              <w:start w:w="80" w:type="dxa"/>
              <w:bottom w:w="80" w:type="dxa"/>
              <w:end w:w="80" w:type="dxa"/>
            </w:tcMar>
          </w:tcPr>
          <w:p>
            <w:r>
              <w:rPr>
                <w:rFonts w:ascii="Liberation Sans" w:hAnsi="Liberation Sans"/>
                <w:b/>
                <w:sz w:val="16"/>
              </w:rPr>
              <w:t>Aussage</w:t>
            </w:r>
          </w:p>
        </w:tc>
      </w:tr>
      <w:tr>
        <w:tc>
          <w:tcPr>
            <w:tcW w:type="dxa" w:w="737"/>
            <w:vAlign w:val="top"/>
            <w:tcMar>
              <w:top w:w="80" w:type="dxa"/>
              <w:start w:w="80" w:type="dxa"/>
              <w:bottom w:w="80" w:type="dxa"/>
              <w:end w:w="80" w:type="dxa"/>
            </w:tcMar>
          </w:tcPr>
          <w:p>
            <w:r>
              <w:rPr>
                <w:rFonts w:ascii="Liberation Serif" w:hAnsi="Liberation Serif"/>
                <w:sz w:val="16"/>
              </w:rPr>
              <w:t>B1</w:t>
            </w:r>
          </w:p>
        </w:tc>
        <w:tc>
          <w:tcPr>
            <w:tcW w:type="dxa" w:w="1304"/>
            <w:vAlign w:val="top"/>
            <w:tcMar>
              <w:top w:w="80" w:type="dxa"/>
              <w:start w:w="80" w:type="dxa"/>
              <w:bottom w:w="80" w:type="dxa"/>
              <w:end w:w="80" w:type="dxa"/>
            </w:tcMar>
          </w:tcPr>
          <w:p>
            <w:r>
              <w:rPr>
                <w:rFonts w:ascii="Liberation Serif" w:hAnsi="Liberation Serif"/>
                <w:sz w:val="16"/>
              </w:rPr>
              <w:t>Background</w:t>
            </w:r>
          </w:p>
        </w:tc>
        <w:tc>
          <w:tcPr>
            <w:tcW w:type="dxa" w:w="7257"/>
            <w:vAlign w:val="top"/>
            <w:tcMar>
              <w:top w:w="80" w:type="dxa"/>
              <w:start w:w="80" w:type="dxa"/>
              <w:bottom w:w="80" w:type="dxa"/>
              <w:end w:w="80" w:type="dxa"/>
            </w:tcMar>
          </w:tcPr>
          <w:p>
            <w:r>
              <w:rPr>
                <w:rFonts w:ascii="Liberation Serif" w:hAnsi="Liberation Serif"/>
                <w:sz w:val="16"/>
              </w:rPr>
              <w:t>Keine bezugssysteminvariante globale Simultanität für raumartig getrennte Ereignisse; Eigenzeit und Kausalstruktur sind relativistisch ausgezeichnet.</w:t>
            </w:r>
          </w:p>
        </w:tc>
      </w:tr>
      <w:tr>
        <w:tc>
          <w:tcPr>
            <w:tcW w:type="dxa" w:w="737"/>
            <w:vAlign w:val="top"/>
            <w:tcMar>
              <w:top w:w="80" w:type="dxa"/>
              <w:start w:w="80" w:type="dxa"/>
              <w:bottom w:w="80" w:type="dxa"/>
              <w:end w:w="80" w:type="dxa"/>
            </w:tcMar>
          </w:tcPr>
          <w:p>
            <w:r>
              <w:rPr>
                <w:rFonts w:ascii="Liberation Serif" w:hAnsi="Liberation Serif"/>
                <w:sz w:val="16"/>
              </w:rPr>
              <w:t>B2</w:t>
            </w:r>
          </w:p>
        </w:tc>
        <w:tc>
          <w:tcPr>
            <w:tcW w:type="dxa" w:w="1304"/>
            <w:vAlign w:val="top"/>
            <w:tcMar>
              <w:top w:w="80" w:type="dxa"/>
              <w:start w:w="80" w:type="dxa"/>
              <w:bottom w:w="80" w:type="dxa"/>
              <w:end w:w="80" w:type="dxa"/>
            </w:tcMar>
          </w:tcPr>
          <w:p>
            <w:r>
              <w:rPr>
                <w:rFonts w:ascii="Liberation Serif" w:hAnsi="Liberation Serif"/>
                <w:sz w:val="16"/>
              </w:rPr>
              <w:t>Background</w:t>
            </w:r>
          </w:p>
        </w:tc>
        <w:tc>
          <w:tcPr>
            <w:tcW w:type="dxa" w:w="7257"/>
            <w:vAlign w:val="top"/>
            <w:tcMar>
              <w:top w:w="80" w:type="dxa"/>
              <w:start w:w="80" w:type="dxa"/>
              <w:bottom w:w="80" w:type="dxa"/>
              <w:end w:w="80" w:type="dxa"/>
            </w:tcMar>
          </w:tcPr>
          <w:p>
            <w:r>
              <w:rPr>
                <w:rFonts w:ascii="Liberation Serif" w:hAnsi="Liberation Serif"/>
                <w:sz w:val="16"/>
              </w:rPr>
              <w:t>Empirische Messresultate werden als endliche lokale Records zugänglich.</w:t>
            </w:r>
          </w:p>
        </w:tc>
      </w:tr>
      <w:tr>
        <w:tc>
          <w:tcPr>
            <w:tcW w:type="dxa" w:w="737"/>
            <w:vAlign w:val="top"/>
            <w:tcMar>
              <w:top w:w="80" w:type="dxa"/>
              <w:start w:w="80" w:type="dxa"/>
              <w:bottom w:w="80" w:type="dxa"/>
              <w:end w:w="80" w:type="dxa"/>
            </w:tcMar>
          </w:tcPr>
          <w:p>
            <w:r>
              <w:rPr>
                <w:rFonts w:ascii="Liberation Serif" w:hAnsi="Liberation Serif"/>
                <w:sz w:val="16"/>
              </w:rPr>
              <w:t>B3</w:t>
            </w:r>
          </w:p>
        </w:tc>
        <w:tc>
          <w:tcPr>
            <w:tcW w:type="dxa" w:w="1304"/>
            <w:vAlign w:val="top"/>
            <w:tcMar>
              <w:top w:w="80" w:type="dxa"/>
              <w:start w:w="80" w:type="dxa"/>
              <w:bottom w:w="80" w:type="dxa"/>
              <w:end w:w="80" w:type="dxa"/>
            </w:tcMar>
          </w:tcPr>
          <w:p>
            <w:r>
              <w:rPr>
                <w:rFonts w:ascii="Liberation Serif" w:hAnsi="Liberation Serif"/>
                <w:sz w:val="16"/>
              </w:rPr>
              <w:t>Background</w:t>
            </w:r>
          </w:p>
        </w:tc>
        <w:tc>
          <w:tcPr>
            <w:tcW w:type="dxa" w:w="7257"/>
            <w:vAlign w:val="top"/>
            <w:tcMar>
              <w:top w:w="80" w:type="dxa"/>
              <w:start w:w="80" w:type="dxa"/>
              <w:bottom w:w="80" w:type="dxa"/>
              <w:end w:w="80" w:type="dxa"/>
            </w:tcMar>
          </w:tcPr>
          <w:p>
            <w:r>
              <w:rPr>
                <w:rFonts w:ascii="Liberation Serif" w:hAnsi="Liberation Serif"/>
                <w:sz w:val="16"/>
              </w:rPr>
              <w:t>Quantenmechanische Korrelationen können Bell-Ungleichungen verletzen; Standard-QM respektiert operationales No-Signalling.</w:t>
            </w:r>
          </w:p>
        </w:tc>
      </w:tr>
      <w:tr>
        <w:tc>
          <w:tcPr>
            <w:tcW w:type="dxa" w:w="737"/>
            <w:vAlign w:val="top"/>
            <w:tcMar>
              <w:top w:w="80" w:type="dxa"/>
              <w:start w:w="80" w:type="dxa"/>
              <w:bottom w:w="80" w:type="dxa"/>
              <w:end w:w="80" w:type="dxa"/>
            </w:tcMar>
          </w:tcPr>
          <w:p>
            <w:r>
              <w:rPr>
                <w:rFonts w:ascii="Liberation Serif" w:hAnsi="Liberation Serif"/>
                <w:sz w:val="16"/>
              </w:rPr>
              <w:t>H1</w:t>
            </w:r>
          </w:p>
        </w:tc>
        <w:tc>
          <w:tcPr>
            <w:tcW w:type="dxa" w:w="1304"/>
            <w:vAlign w:val="top"/>
            <w:tcMar>
              <w:top w:w="80" w:type="dxa"/>
              <w:start w:w="80" w:type="dxa"/>
              <w:bottom w:w="80" w:type="dxa"/>
              <w:end w:w="80" w:type="dxa"/>
            </w:tcMar>
          </w:tcPr>
          <w:p>
            <w:r>
              <w:rPr>
                <w:rFonts w:ascii="Liberation Serif" w:hAnsi="Liberation Serif"/>
                <w:sz w:val="16"/>
              </w:rPr>
              <w:t>Hypothese</w:t>
            </w:r>
          </w:p>
        </w:tc>
        <w:tc>
          <w:tcPr>
            <w:tcW w:type="dxa" w:w="7257"/>
            <w:vAlign w:val="top"/>
            <w:tcMar>
              <w:top w:w="80" w:type="dxa"/>
              <w:start w:w="80" w:type="dxa"/>
              <w:bottom w:w="80" w:type="dxa"/>
              <w:end w:w="80" w:type="dxa"/>
            </w:tcMar>
          </w:tcPr>
          <w:p>
            <w:r>
              <w:rPr>
                <w:rFonts w:ascii="Liberation Serif" w:hAnsi="Liberation Serif"/>
                <w:sz w:val="16"/>
              </w:rPr>
              <w:t>Eine fundamentale Kinematik kann durch Ereignisse und eine Kausalordnung organisiert werden.</w:t>
            </w:r>
          </w:p>
        </w:tc>
      </w:tr>
      <w:tr>
        <w:tc>
          <w:tcPr>
            <w:tcW w:type="dxa" w:w="737"/>
            <w:vAlign w:val="top"/>
            <w:tcMar>
              <w:top w:w="80" w:type="dxa"/>
              <w:start w:w="80" w:type="dxa"/>
              <w:bottom w:w="80" w:type="dxa"/>
              <w:end w:w="80" w:type="dxa"/>
            </w:tcMar>
          </w:tcPr>
          <w:p>
            <w:r>
              <w:rPr>
                <w:rFonts w:ascii="Liberation Serif" w:hAnsi="Liberation Serif"/>
                <w:sz w:val="16"/>
              </w:rPr>
              <w:t>H2</w:t>
            </w:r>
          </w:p>
        </w:tc>
        <w:tc>
          <w:tcPr>
            <w:tcW w:type="dxa" w:w="1304"/>
            <w:vAlign w:val="top"/>
            <w:tcMar>
              <w:top w:w="80" w:type="dxa"/>
              <w:start w:w="80" w:type="dxa"/>
              <w:bottom w:w="80" w:type="dxa"/>
              <w:end w:w="80" w:type="dxa"/>
            </w:tcMar>
          </w:tcPr>
          <w:p>
            <w:r>
              <w:rPr>
                <w:rFonts w:ascii="Liberation Serif" w:hAnsi="Liberation Serif"/>
                <w:sz w:val="16"/>
              </w:rPr>
              <w:t>Hypothese</w:t>
            </w:r>
          </w:p>
        </w:tc>
        <w:tc>
          <w:tcPr>
            <w:tcW w:type="dxa" w:w="7257"/>
            <w:vAlign w:val="top"/>
            <w:tcMar>
              <w:top w:w="80" w:type="dxa"/>
              <w:start w:w="80" w:type="dxa"/>
              <w:bottom w:w="80" w:type="dxa"/>
              <w:end w:w="80" w:type="dxa"/>
            </w:tcMar>
          </w:tcPr>
          <w:p>
            <w:r>
              <w:rPr>
                <w:rFonts w:ascii="Liberation Serif" w:hAnsi="Liberation Serif"/>
                <w:sz w:val="16"/>
              </w:rPr>
              <w:t>Lokale Endlichkeit/atomare Ereignisstruktur ist fundamental oder im relevanten Mikroregime wirksam.</w:t>
            </w:r>
          </w:p>
        </w:tc>
      </w:tr>
      <w:tr>
        <w:tc>
          <w:tcPr>
            <w:tcW w:type="dxa" w:w="737"/>
            <w:vAlign w:val="top"/>
            <w:tcMar>
              <w:top w:w="80" w:type="dxa"/>
              <w:start w:w="80" w:type="dxa"/>
              <w:bottom w:w="80" w:type="dxa"/>
              <w:end w:w="80" w:type="dxa"/>
            </w:tcMar>
          </w:tcPr>
          <w:p>
            <w:r>
              <w:rPr>
                <w:rFonts w:ascii="Liberation Serif" w:hAnsi="Liberation Serif"/>
                <w:sz w:val="16"/>
              </w:rPr>
              <w:t>H3</w:t>
            </w:r>
          </w:p>
        </w:tc>
        <w:tc>
          <w:tcPr>
            <w:tcW w:type="dxa" w:w="1304"/>
            <w:vAlign w:val="top"/>
            <w:tcMar>
              <w:top w:w="80" w:type="dxa"/>
              <w:start w:w="80" w:type="dxa"/>
              <w:bottom w:w="80" w:type="dxa"/>
              <w:end w:w="80" w:type="dxa"/>
            </w:tcMar>
          </w:tcPr>
          <w:p>
            <w:r>
              <w:rPr>
                <w:rFonts w:ascii="Liberation Serif" w:hAnsi="Liberation Serif"/>
                <w:sz w:val="16"/>
              </w:rPr>
              <w:t>Hypothese</w:t>
            </w:r>
          </w:p>
        </w:tc>
        <w:tc>
          <w:tcPr>
            <w:tcW w:type="dxa" w:w="7257"/>
            <w:vAlign w:val="top"/>
            <w:tcMar>
              <w:top w:w="80" w:type="dxa"/>
              <w:start w:w="80" w:type="dxa"/>
              <w:bottom w:w="80" w:type="dxa"/>
              <w:end w:w="80" w:type="dxa"/>
            </w:tcMar>
          </w:tcPr>
          <w:p>
            <w:r>
              <w:rPr>
                <w:rFonts w:ascii="Liberation Serif" w:hAnsi="Liberation Serif"/>
                <w:sz w:val="16"/>
              </w:rPr>
              <w:t>Eine glatte Lorentz-Geometrie entsteht als effektive Rekonstruktion aus QIK-Strukturen.</w:t>
            </w:r>
          </w:p>
        </w:tc>
      </w:tr>
      <w:tr>
        <w:tc>
          <w:tcPr>
            <w:tcW w:type="dxa" w:w="737"/>
            <w:vAlign w:val="top"/>
            <w:tcMar>
              <w:top w:w="80" w:type="dxa"/>
              <w:start w:w="80" w:type="dxa"/>
              <w:bottom w:w="80" w:type="dxa"/>
              <w:end w:w="80" w:type="dxa"/>
            </w:tcMar>
          </w:tcPr>
          <w:p>
            <w:r>
              <w:rPr>
                <w:rFonts w:ascii="Liberation Serif" w:hAnsi="Liberation Serif"/>
                <w:sz w:val="16"/>
              </w:rPr>
              <w:t>H4</w:t>
            </w:r>
          </w:p>
        </w:tc>
        <w:tc>
          <w:tcPr>
            <w:tcW w:type="dxa" w:w="1304"/>
            <w:vAlign w:val="top"/>
            <w:tcMar>
              <w:top w:w="80" w:type="dxa"/>
              <w:start w:w="80" w:type="dxa"/>
              <w:bottom w:w="80" w:type="dxa"/>
              <w:end w:w="80" w:type="dxa"/>
            </w:tcMar>
          </w:tcPr>
          <w:p>
            <w:r>
              <w:rPr>
                <w:rFonts w:ascii="Liberation Serif" w:hAnsi="Liberation Serif"/>
                <w:sz w:val="16"/>
              </w:rPr>
              <w:t>Hypothese</w:t>
            </w:r>
          </w:p>
        </w:tc>
        <w:tc>
          <w:tcPr>
            <w:tcW w:type="dxa" w:w="7257"/>
            <w:vAlign w:val="top"/>
            <w:tcMar>
              <w:top w:w="80" w:type="dxa"/>
              <w:start w:w="80" w:type="dxa"/>
              <w:bottom w:w="80" w:type="dxa"/>
              <w:end w:w="80" w:type="dxa"/>
            </w:tcMar>
          </w:tcPr>
          <w:p>
            <w:r>
              <w:rPr>
                <w:rFonts w:ascii="Liberation Serif" w:hAnsi="Liberation Serif"/>
                <w:sz w:val="16"/>
              </w:rPr>
              <w:t>Der Planck-Bereich markiert einen Regimewechsel, in dem die kontinuierliche Beschreibung ihre fundamentale Gültigkeit verliert oder modifiziert werden muss.</w:t>
            </w:r>
          </w:p>
        </w:tc>
      </w:tr>
      <w:tr>
        <w:tc>
          <w:tcPr>
            <w:tcW w:type="dxa" w:w="737"/>
            <w:vAlign w:val="top"/>
            <w:tcMar>
              <w:top w:w="80" w:type="dxa"/>
              <w:start w:w="80" w:type="dxa"/>
              <w:bottom w:w="80" w:type="dxa"/>
              <w:end w:w="80" w:type="dxa"/>
            </w:tcMar>
          </w:tcPr>
          <w:p>
            <w:r>
              <w:rPr>
                <w:rFonts w:ascii="Liberation Serif" w:hAnsi="Liberation Serif"/>
                <w:sz w:val="16"/>
              </w:rPr>
              <w:t>R1</w:t>
            </w:r>
          </w:p>
        </w:tc>
        <w:tc>
          <w:tcPr>
            <w:tcW w:type="dxa" w:w="1304"/>
            <w:vAlign w:val="top"/>
            <w:tcMar>
              <w:top w:w="80" w:type="dxa"/>
              <w:start w:w="80" w:type="dxa"/>
              <w:bottom w:w="80" w:type="dxa"/>
              <w:end w:w="80" w:type="dxa"/>
            </w:tcMar>
          </w:tcPr>
          <w:p>
            <w:r>
              <w:rPr>
                <w:rFonts w:ascii="Liberation Serif" w:hAnsi="Liberation Serif"/>
                <w:sz w:val="16"/>
              </w:rPr>
              <w:t>Requirement</w:t>
            </w:r>
          </w:p>
        </w:tc>
        <w:tc>
          <w:tcPr>
            <w:tcW w:type="dxa" w:w="7257"/>
            <w:vAlign w:val="top"/>
            <w:tcMar>
              <w:top w:w="80" w:type="dxa"/>
              <w:start w:w="80" w:type="dxa"/>
              <w:bottom w:w="80" w:type="dxa"/>
              <w:end w:w="80" w:type="dxa"/>
            </w:tcMar>
          </w:tcPr>
          <w:p>
            <w:r>
              <w:rPr>
                <w:rFonts w:ascii="Liberation Serif" w:hAnsi="Liberation Serif"/>
                <w:sz w:val="16"/>
              </w:rPr>
              <w:t>Das Modell muss No-Signalling und die tatsächlich quantenmechanische Korrelationsmenge reproduzieren.</w:t>
            </w:r>
          </w:p>
        </w:tc>
      </w:tr>
      <w:tr>
        <w:tc>
          <w:tcPr>
            <w:tcW w:type="dxa" w:w="737"/>
            <w:vAlign w:val="top"/>
            <w:tcMar>
              <w:top w:w="80" w:type="dxa"/>
              <w:start w:w="80" w:type="dxa"/>
              <w:bottom w:w="80" w:type="dxa"/>
              <w:end w:w="80" w:type="dxa"/>
            </w:tcMar>
          </w:tcPr>
          <w:p>
            <w:r>
              <w:rPr>
                <w:rFonts w:ascii="Liberation Serif" w:hAnsi="Liberation Serif"/>
                <w:sz w:val="16"/>
              </w:rPr>
              <w:t>R2</w:t>
            </w:r>
          </w:p>
        </w:tc>
        <w:tc>
          <w:tcPr>
            <w:tcW w:type="dxa" w:w="1304"/>
            <w:vAlign w:val="top"/>
            <w:tcMar>
              <w:top w:w="80" w:type="dxa"/>
              <w:start w:w="80" w:type="dxa"/>
              <w:bottom w:w="80" w:type="dxa"/>
              <w:end w:w="80" w:type="dxa"/>
            </w:tcMar>
          </w:tcPr>
          <w:p>
            <w:r>
              <w:rPr>
                <w:rFonts w:ascii="Liberation Serif" w:hAnsi="Liberation Serif"/>
                <w:sz w:val="16"/>
              </w:rPr>
              <w:t>Requirement</w:t>
            </w:r>
          </w:p>
        </w:tc>
        <w:tc>
          <w:tcPr>
            <w:tcW w:type="dxa" w:w="7257"/>
            <w:vAlign w:val="top"/>
            <w:tcMar>
              <w:top w:w="80" w:type="dxa"/>
              <w:start w:w="80" w:type="dxa"/>
              <w:bottom w:w="80" w:type="dxa"/>
              <w:end w:w="80" w:type="dxa"/>
            </w:tcMar>
          </w:tcPr>
          <w:p>
            <w:r>
              <w:rPr>
                <w:rFonts w:ascii="Liberation Serif" w:hAnsi="Liberation Serif"/>
                <w:sz w:val="16"/>
              </w:rPr>
              <w:t>Der Kontinuumsgrenzfall muss eine geeignete Lorentz-Geometrie und bekannte relativistische Dynamik reproduzieren.</w:t>
            </w:r>
          </w:p>
        </w:tc>
      </w:tr>
      <w:tr>
        <w:tc>
          <w:tcPr>
            <w:tcW w:type="dxa" w:w="737"/>
            <w:vAlign w:val="top"/>
            <w:tcMar>
              <w:top w:w="80" w:type="dxa"/>
              <w:start w:w="80" w:type="dxa"/>
              <w:bottom w:w="80" w:type="dxa"/>
              <w:end w:w="80" w:type="dxa"/>
            </w:tcMar>
          </w:tcPr>
          <w:p>
            <w:r>
              <w:rPr>
                <w:rFonts w:ascii="Liberation Serif" w:hAnsi="Liberation Serif"/>
                <w:sz w:val="16"/>
              </w:rPr>
              <w:t>R3</w:t>
            </w:r>
          </w:p>
        </w:tc>
        <w:tc>
          <w:tcPr>
            <w:tcW w:type="dxa" w:w="1304"/>
            <w:vAlign w:val="top"/>
            <w:tcMar>
              <w:top w:w="80" w:type="dxa"/>
              <w:start w:w="80" w:type="dxa"/>
              <w:bottom w:w="80" w:type="dxa"/>
              <w:end w:w="80" w:type="dxa"/>
            </w:tcMar>
          </w:tcPr>
          <w:p>
            <w:r>
              <w:rPr>
                <w:rFonts w:ascii="Liberation Serif" w:hAnsi="Liberation Serif"/>
                <w:sz w:val="16"/>
              </w:rPr>
              <w:t>Requirement</w:t>
            </w:r>
          </w:p>
        </w:tc>
        <w:tc>
          <w:tcPr>
            <w:tcW w:type="dxa" w:w="7257"/>
            <w:vAlign w:val="top"/>
            <w:tcMar>
              <w:top w:w="80" w:type="dxa"/>
              <w:start w:w="80" w:type="dxa"/>
              <w:bottom w:w="80" w:type="dxa"/>
              <w:end w:w="80" w:type="dxa"/>
            </w:tcMar>
          </w:tcPr>
          <w:p>
            <w:r>
              <w:rPr>
                <w:rFonts w:ascii="Liberation Serif" w:hAnsi="Liberation Serif"/>
                <w:sz w:val="16"/>
              </w:rPr>
              <w:t>Es muss eine konkrete Dynamik bzw. ein Gewicht über zulässigen Ereignis-/Record-Strukturen spezifiziert werden.</w:t>
            </w:r>
          </w:p>
        </w:tc>
      </w:tr>
    </w:tbl>
    <w:p>
      <w:r>
        <w:t>Entscheidend ist die Richtung der Logik: B1–B3 motivieren die Wahl von H1–H4, sie beweisen diese Hypothesen aber nicht. Erst ein Modell, das R1–R3 erfüllt und zusätzliche empirische Konsequenzen liefert, würde aus dem Rahmen eine physikalische Theorie machen.</w:t>
      </w:r>
    </w:p>
    <w:p>
      <w:pPr>
        <w:pStyle w:val="Heading1"/>
      </w:pPr>
      <w:r>
        <w:t>6 Rekonstruktion effektiver Raumzeit</w:t>
      </w:r>
    </w:p>
    <w:p>
      <w:pPr>
        <w:pStyle w:val="Heading2"/>
      </w:pPr>
      <w:r>
        <w:t>6.1 Bekannter mathematischer Hintergrund</w:t>
      </w:r>
    </w:p>
    <w:p>
      <w:r>
        <w:t>In der Lorentz-Geometrie existieren starke Rekonstruktionsresultate: Unter geeigneten Kausalitätsbedingungen trägt die kausale Struktur wesentliche Information über die konforme Struktur einer Raumzeit; ergänzt um eine Volumenstruktur kann die metrische Information weiter fixiert werden. Der Causal-Set-Ansatz fasst dies heuristisch als „order + number ≈ geometry“ zusammen. Diese Resultate setzen jedoch Regularität und die Nähe zu einer geeigneten Lorentz-Mannigfaltigkeit voraus.</w:t>
      </w:r>
    </w:p>
    <w:p>
      <w:pPr>
        <w:pStyle w:val="Heading2"/>
      </w:pPr>
      <w:r>
        <w:t>6.2 QIK-Rekonstruktionsziel</w:t>
      </w:r>
    </w:p>
    <w:p>
      <w:r>
        <w:t>[H3/R2] QIK formuliert Rekonstruktion daher als zu erfüllende Abbildung:</w:t>
      </w:r>
    </w:p>
    <w:p>
      <w:pPr>
        <w:pStyle w:val="Equation"/>
        <w:jc w:val="center"/>
      </w:pPr>
      <w:r>
        <w:rPr>
          <w:rFonts w:ascii="DejaVu Serif" w:hAnsi="DejaVu Serif"/>
          <w:sz w:val="21"/>
        </w:rPr>
        <w:t>ℛ_Λ : (E, ≺, μ, P)  ⇝  (M, g, Φ)ₑff  + ε_Λ.</w:t>
      </w:r>
      <w:r>
        <w:rPr>
          <w:rFonts w:ascii="Liberation Sans" w:hAnsi="Liberation Sans"/>
          <w:sz w:val="18"/>
        </w:rPr>
        <w:t xml:space="preserve">    (9)</w:t>
      </w:r>
    </w:p>
    <w:p>
      <w:r>
        <w:t>Λ ist eine Grobkornskala, ε_Λ ein Fehlermaß. Für eine wissenschaftlich belastbare Theorie sind mindestens folgende Punkte zu zeigen: (i) Manifoldlikeness bzw. geeignete Einbettbarkeit, (ii) Stabilität gegenüber Grobkornung, (iii) Lorentz-kompatibles Verhalten, (iv) Zusammenhang zwischen μ und Volumen, (v) eine Dynamik, die den makroskopischen Gravitationssektor erzeugt.</w:t>
      </w:r>
    </w:p>
    <w:p>
      <w:r>
        <w:t>Die Aussage „Raumzeit ist Rekonstruktion“ ist damit keine vorweggenommene Schlussfolgerung, sondern eine präzise Forschungsbehauptung, deren Gültigkeit am Rekonstruktionsfehler und an Grenzfalltests zu messen ist.</w:t>
      </w:r>
    </w:p>
    <w:p>
      <w:pPr>
        <w:pStyle w:val="Heading1"/>
      </w:pPr>
      <w:r>
        <w:t>7 Quantenmechanische Ebene</w:t>
      </w:r>
    </w:p>
    <w:p>
      <w:pPr>
        <w:pStyle w:val="Heading2"/>
      </w:pPr>
      <w:r>
        <w:t>7.1 Wahrscheinlichkeitsstruktur</w:t>
      </w:r>
    </w:p>
    <w:p>
      <w:r>
        <w:t>[R1] Soll QIK Standard-Quantenmechanik enthalten, muss für geeignete Subsysteme eine Zuordnung zu Zuständen und Messungen existieren, die mindestens die Born-Statistik reproduziert. Eine mögliche Einbettungsbedingung lautet:</w:t>
      </w:r>
    </w:p>
    <w:p>
      <w:pPr>
        <w:pStyle w:val="Equation"/>
        <w:jc w:val="center"/>
      </w:pPr>
      <w:r>
        <w:rPr>
          <w:rFonts w:ascii="DejaVu Serif" w:hAnsi="DejaVu Serif"/>
          <w:sz w:val="21"/>
        </w:rPr>
        <w:t>P(r | M) = Tr(ρ Eᵐ_r),       Σ_r Eᵐ_r = 𝟙.</w:t>
      </w:r>
      <w:r>
        <w:rPr>
          <w:rFonts w:ascii="Liberation Sans" w:hAnsi="Liberation Sans"/>
          <w:sz w:val="18"/>
        </w:rPr>
        <w:t xml:space="preserve">    (10)</w:t>
      </w:r>
    </w:p>
    <w:p>
      <w:r>
        <w:t>Gleichung (10) wird hier nicht aus QIK hergeleitet. Sie bezeichnet den Benchmark, den ein konkreter QIK-Formalismus entweder reproduzieren oder durch eine empirisch gleichwertige Struktur ersetzen muss.</w:t>
      </w:r>
    </w:p>
    <w:p>
      <w:pPr>
        <w:pStyle w:val="Heading2"/>
      </w:pPr>
      <w:r>
        <w:t>7.2 Korrelationen als Konsistenzbedingungen</w:t>
      </w:r>
    </w:p>
    <w:p>
      <w:r>
        <w:t>[I2] Die Formulierung „Quantenkorrelationen sind Konsistenzbedingungen auf gemeinsame Records“ ist als Interpretationssprache zulässig, sofern sie nicht mit einer klassischen gemeinsamen-Ursachen-Erklärung gleichgesetzt wird. Bell-Verletzungen zeigen gerade, dass eine große Klasse lokaler faktorisierbarer Modelle die beobachtbaren Korrelationen nicht reproduziert. Die QIK-Sprache muss daher die nichtklassische Korrelationsstruktur quantitativ tragen.</w:t>
      </w:r>
    </w:p>
    <w:p>
      <w:r>
        <w:t>Eine bloße Forderung globaler Konsistenz ist zu schwach: Sie muss durch einen mathematischen Satz von Zuständen, Amplituden, Operatoren, Prozessgewichten oder einem gleichwertigen Formalismus ergänzt werden. Erst dann kann entschieden werden, ob die zulässigen Joint-Statistiken genau quantenmechanisch, zu schwach oder zu stark sind.</w:t>
      </w:r>
    </w:p>
    <w:p>
      <w:pPr>
        <w:pStyle w:val="Heading2"/>
      </w:pPr>
      <w:r>
        <w:t>7.3 Wellen-/Teilchen-Sprache</w:t>
      </w:r>
    </w:p>
    <w:p>
      <w:r>
        <w:t>[I1] Als didaktische Kurzform kann „Die Theorie rechnet mit Amplituden; das Experiment liefert Records“ beibehalten werden. Für eine Fachfassung sollte jedoch vermieden werden, „Welle“ und „Teilchen“ als zwei ontologische Zustände desselben Objekts zu behandeln. In moderner Quantenfeldtheorie sind Teilchenzustände selbst modell- und regimeabhängige Konzepte; das robuste Element sind die Vorhersagen für Observablen und Records.</w:t>
      </w:r>
    </w:p>
    <w:p>
      <w:pPr>
        <w:pStyle w:val="Heading1"/>
      </w:pPr>
      <w:r>
        <w:t>8 Gravitation und Wellenregime</w:t>
      </w:r>
    </w:p>
    <w:p>
      <w:pPr>
        <w:pStyle w:val="Heading2"/>
      </w:pPr>
      <w:r>
        <w:t>8.1 Klassischer Grenzfall</w:t>
      </w:r>
    </w:p>
    <w:p>
      <w:r>
        <w:t>[R2] Ein QIK-Modell mit Anspruch auf Raumzeit- und Gravitationsfundament muss zeigen, wie im geeigneten Grenzfall eine effektive Metrik g entsteht, deren Dynamik die bekannten Tests der Allgemeinen Relativitätstheorie reproduziert. Dies ist eine Anforderung, keine bereits durch Ereignisstruktur erfüllte Konsequenz.</w:t>
      </w:r>
    </w:p>
    <w:p>
      <w:pPr>
        <w:pStyle w:val="Equation"/>
        <w:jc w:val="center"/>
      </w:pPr>
      <w:r>
        <w:rPr>
          <w:rFonts w:ascii="DejaVu Serif" w:hAnsi="DejaVu Serif"/>
          <w:sz w:val="21"/>
        </w:rPr>
      </w:r>
      <w:r>
        <w:rPr>
          <w:rFonts w:ascii="Liberation Sans" w:hAnsi="Liberation Sans"/>
          <w:sz w:val="18"/>
        </w:rPr>
      </w:r>
      <w:r>
        <w:rPr>
          <w:rFonts w:ascii="Noto Sans Math" w:hAnsi="Noto Sans Math"/>
          <w:sz w:val="21"/>
        </w:rPr>
        <w:t>Gμν[g] + Λ gμν ≈ 8πG Tμν     (makroskopischer Zielgrenzfall).    (11)</w:t>
      </w:r>
    </w:p>
    <w:p>
      <w:pPr>
        <w:pStyle w:val="Heading2"/>
      </w:pPr>
      <w:r>
        <w:t>8.2 Gravitationswellen und gegenphasige Interferenz</w:t>
      </w:r>
    </w:p>
    <w:p>
      <w:r>
        <w:t>[B5] Im schwachen Feld kann g = η + h mit |h| ≪ 1 gesetzt werden. Die führende Störungsdynamik ist linear, sodass h₁ und h₂ superponiert werden können. Eine passend phasenverschobene zweite Störung kann in einem begrenzten Bereich die resultierende lineare Störung reduzieren.</w:t>
      </w:r>
    </w:p>
    <w:p>
      <w:pPr>
        <w:pStyle w:val="Equation"/>
        <w:jc w:val="center"/>
      </w:pPr>
      <w:r>
        <w:rPr>
          <w:rFonts w:ascii="DejaVu Serif" w:hAnsi="DejaVu Serif"/>
          <w:sz w:val="21"/>
        </w:rPr>
      </w:r>
      <w:r>
        <w:rPr>
          <w:rFonts w:ascii="Liberation Sans" w:hAnsi="Liberation Sans"/>
          <w:sz w:val="18"/>
        </w:rPr>
      </w:r>
      <w:r>
        <w:rPr>
          <w:rFonts w:ascii="Noto Sans Math" w:hAnsi="Noto Sans Math"/>
          <w:sz w:val="21"/>
        </w:rPr>
        <w:t>gμν = ημν + hμν,     |h| ≪ 1,     L(h₁+h₂) = L(h₁) + L(h₂).    (12)</w:t>
      </w:r>
    </w:p>
    <w:p>
      <w:r>
        <w:t>Diese Aussage rechtfertigt den Begriff einer gegenphasigen Gravitationswellenkomponente im linearisierten Regime. Sie rechtfertigt nicht die allgemeine Vorstellung, Gravitation lasse sich durch eine „Antiwelle“ aufheben. Die vollständigen Einstein-Gleichungen sind nichtlinear; außerdem fehlen derzeit realistische Quellen und Kontrollmechanismen für eine technische Erzeugung phasenstabiler Gegenwellen vergleichbarer Amplitude.</w:t>
      </w:r>
    </w:p>
    <w:p>
      <w:pPr>
        <w:pStyle w:val="Heading2"/>
      </w:pPr>
      <w:r>
        <w:t>8.3 QIK-Deutung der Gravitation</w:t>
      </w:r>
    </w:p>
    <w:p>
      <w:r>
        <w:t>[H5] Die Aussage „Gravitation ist ein Einschränkungssektor“ kann als Forschungsansatz beibehalten werden, wenn „Einschränkung“ formal definiert wird. Ein mögliches Ziel ist, geometrische Freiheitsgrade als makroskopische Parameter einer tieferen Wahrscheinlichkeits-/Kausalstruktur zu rekonstruieren. Ohne konkrete Dynamik bleibt dies eine Hypothese und sollte nicht als Äquivalent der Allgemeinen Relativitätstheorie formuliert werden.</w:t>
      </w:r>
    </w:p>
    <w:p>
      <w:pPr>
        <w:pStyle w:val="Heading1"/>
      </w:pPr>
      <w:r>
        <w:t>9 Empirische und formale Prüfpflichten</w:t>
      </w:r>
    </w:p>
    <w:p>
      <w:r>
        <w:t>Ein QIK-Modell wird erst dann zu einer physikalischen Theorie, wenn es die folgenden Prüfblöcke erfüllt:</w:t>
      </w:r>
    </w:p>
    <w:tbl>
      <w:tblPr>
        <w:tblStyle w:val="TableGrid"/>
        <w:tblW w:type="auto" w:w="0"/>
        <w:jc w:val="center"/>
        <w:tblLook w:firstColumn="1" w:firstRow="1" w:lastColumn="0" w:lastRow="0" w:noHBand="0" w:noVBand="1" w:val="04A0"/>
      </w:tblPr>
      <w:tblGrid>
        <w:gridCol w:w="4649"/>
        <w:gridCol w:w="4649"/>
      </w:tblGrid>
      <w:tr>
        <w:tc>
          <w:tcPr>
            <w:tcW w:type="dxa" w:w="2268"/>
            <w:shd w:fill="D9EAF7"/>
            <w:vAlign w:val="center"/>
            <w:tcMar>
              <w:top w:w="80" w:type="dxa"/>
              <w:start w:w="80" w:type="dxa"/>
              <w:bottom w:w="80" w:type="dxa"/>
              <w:end w:w="80" w:type="dxa"/>
            </w:tcMar>
          </w:tcPr>
          <w:p>
            <w:r>
              <w:rPr>
                <w:rFonts w:ascii="Liberation Sans" w:hAnsi="Liberation Sans"/>
                <w:b/>
                <w:sz w:val="17"/>
              </w:rPr>
              <w:t>Prüfblock</w:t>
            </w:r>
          </w:p>
        </w:tc>
        <w:tc>
          <w:tcPr>
            <w:tcW w:type="dxa" w:w="7030"/>
            <w:shd w:fill="D9EAF7"/>
            <w:vAlign w:val="center"/>
            <w:tcMar>
              <w:top w:w="80" w:type="dxa"/>
              <w:start w:w="80" w:type="dxa"/>
              <w:bottom w:w="80" w:type="dxa"/>
              <w:end w:w="80" w:type="dxa"/>
            </w:tcMar>
          </w:tcPr>
          <w:p>
            <w:r>
              <w:rPr>
                <w:rFonts w:ascii="Liberation Sans" w:hAnsi="Liberation Sans"/>
                <w:b/>
                <w:sz w:val="17"/>
              </w:rPr>
              <w:t>Minimaler Nachweis</w:t>
            </w:r>
          </w:p>
        </w:tc>
      </w:tr>
      <w:tr>
        <w:tc>
          <w:tcPr>
            <w:tcW w:type="dxa" w:w="2268"/>
            <w:vAlign w:val="top"/>
            <w:tcMar>
              <w:top w:w="80" w:type="dxa"/>
              <w:start w:w="80" w:type="dxa"/>
              <w:bottom w:w="80" w:type="dxa"/>
              <w:end w:w="80" w:type="dxa"/>
            </w:tcMar>
          </w:tcPr>
          <w:p>
            <w:r>
              <w:rPr>
                <w:rFonts w:ascii="Liberation Serif" w:hAnsi="Liberation Serif"/>
                <w:sz w:val="17"/>
              </w:rPr>
              <w:t>Kausalstruktur</w:t>
            </w:r>
          </w:p>
        </w:tc>
        <w:tc>
          <w:tcPr>
            <w:tcW w:type="dxa" w:w="7030"/>
            <w:vAlign w:val="top"/>
            <w:tcMar>
              <w:top w:w="80" w:type="dxa"/>
              <w:start w:w="80" w:type="dxa"/>
              <w:bottom w:w="80" w:type="dxa"/>
              <w:end w:w="80" w:type="dxa"/>
            </w:tcMar>
          </w:tcPr>
          <w:p>
            <w:r>
              <w:rPr>
                <w:rFonts w:ascii="Liberation Serif" w:hAnsi="Liberation Serif"/>
                <w:sz w:val="17"/>
              </w:rPr>
              <w:t>Azyklizität/Ordnungsstruktur, konsistente lokale Erreichbarkeit und definierte Interventionen.</w:t>
            </w:r>
          </w:p>
        </w:tc>
      </w:tr>
      <w:tr>
        <w:tc>
          <w:tcPr>
            <w:tcW w:type="dxa" w:w="2268"/>
            <w:vAlign w:val="top"/>
            <w:tcMar>
              <w:top w:w="80" w:type="dxa"/>
              <w:start w:w="80" w:type="dxa"/>
              <w:bottom w:w="80" w:type="dxa"/>
              <w:end w:w="80" w:type="dxa"/>
            </w:tcMar>
          </w:tcPr>
          <w:p>
            <w:r>
              <w:rPr>
                <w:rFonts w:ascii="Liberation Serif" w:hAnsi="Liberation Serif"/>
                <w:sz w:val="17"/>
              </w:rPr>
              <w:t>Lorentz-Verhalten</w:t>
            </w:r>
          </w:p>
        </w:tc>
        <w:tc>
          <w:tcPr>
            <w:tcW w:type="dxa" w:w="7030"/>
            <w:vAlign w:val="top"/>
            <w:tcMar>
              <w:top w:w="80" w:type="dxa"/>
              <w:start w:w="80" w:type="dxa"/>
              <w:bottom w:w="80" w:type="dxa"/>
              <w:end w:w="80" w:type="dxa"/>
            </w:tcMar>
          </w:tcPr>
          <w:p>
            <w:r>
              <w:rPr>
                <w:rFonts w:ascii="Liberation Serif" w:hAnsi="Liberation Serif"/>
                <w:sz w:val="17"/>
              </w:rPr>
              <w:t>Kein beobachtbar bevorzugtes Inertialsystem im validierten Grenzbereich; kontrollierter Umgang mit Diskretheit.</w:t>
            </w:r>
          </w:p>
        </w:tc>
      </w:tr>
      <w:tr>
        <w:tc>
          <w:tcPr>
            <w:tcW w:type="dxa" w:w="2268"/>
            <w:vAlign w:val="top"/>
            <w:tcMar>
              <w:top w:w="80" w:type="dxa"/>
              <w:start w:w="80" w:type="dxa"/>
              <w:bottom w:w="80" w:type="dxa"/>
              <w:end w:w="80" w:type="dxa"/>
            </w:tcMar>
          </w:tcPr>
          <w:p>
            <w:r>
              <w:rPr>
                <w:rFonts w:ascii="Liberation Serif" w:hAnsi="Liberation Serif"/>
                <w:sz w:val="17"/>
              </w:rPr>
              <w:t>Quantenstatistik</w:t>
            </w:r>
          </w:p>
        </w:tc>
        <w:tc>
          <w:tcPr>
            <w:tcW w:type="dxa" w:w="7030"/>
            <w:vAlign w:val="top"/>
            <w:tcMar>
              <w:top w:w="80" w:type="dxa"/>
              <w:start w:w="80" w:type="dxa"/>
              <w:bottom w:w="80" w:type="dxa"/>
              <w:end w:w="80" w:type="dxa"/>
            </w:tcMar>
          </w:tcPr>
          <w:p>
            <w:r>
              <w:rPr>
                <w:rFonts w:ascii="Liberation Serif" w:hAnsi="Liberation Serif"/>
                <w:sz w:val="17"/>
              </w:rPr>
              <w:t>Born-Statistik oder empirisch äquivalente Regel; konkrete Bell-Szenarien; No-Signalling; richtige Korrelationsgrenzen.</w:t>
            </w:r>
          </w:p>
        </w:tc>
      </w:tr>
      <w:tr>
        <w:tc>
          <w:tcPr>
            <w:tcW w:type="dxa" w:w="2268"/>
            <w:vAlign w:val="top"/>
            <w:tcMar>
              <w:top w:w="80" w:type="dxa"/>
              <w:start w:w="80" w:type="dxa"/>
              <w:bottom w:w="80" w:type="dxa"/>
              <w:end w:w="80" w:type="dxa"/>
            </w:tcMar>
          </w:tcPr>
          <w:p>
            <w:r>
              <w:rPr>
                <w:rFonts w:ascii="Liberation Serif" w:hAnsi="Liberation Serif"/>
                <w:sz w:val="17"/>
              </w:rPr>
              <w:t>Kontinuumsrekonstruktion</w:t>
            </w:r>
          </w:p>
        </w:tc>
        <w:tc>
          <w:tcPr>
            <w:tcW w:type="dxa" w:w="7030"/>
            <w:vAlign w:val="top"/>
            <w:tcMar>
              <w:top w:w="80" w:type="dxa"/>
              <w:start w:w="80" w:type="dxa"/>
              <w:bottom w:w="80" w:type="dxa"/>
              <w:end w:w="80" w:type="dxa"/>
            </w:tcMar>
          </w:tcPr>
          <w:p>
            <w:r>
              <w:rPr>
                <w:rFonts w:ascii="Liberation Serif" w:hAnsi="Liberation Serif"/>
                <w:sz w:val="17"/>
              </w:rPr>
              <w:t>Quantitatives Fehlermaß ε_Λ; Nachweis einer manifoldartigen Makrostruktur in definiertem Regime.</w:t>
            </w:r>
          </w:p>
        </w:tc>
      </w:tr>
      <w:tr>
        <w:tc>
          <w:tcPr>
            <w:tcW w:type="dxa" w:w="2268"/>
            <w:vAlign w:val="top"/>
            <w:tcMar>
              <w:top w:w="80" w:type="dxa"/>
              <w:start w:w="80" w:type="dxa"/>
              <w:bottom w:w="80" w:type="dxa"/>
              <w:end w:w="80" w:type="dxa"/>
            </w:tcMar>
          </w:tcPr>
          <w:p>
            <w:r>
              <w:rPr>
                <w:rFonts w:ascii="Liberation Serif" w:hAnsi="Liberation Serif"/>
                <w:sz w:val="17"/>
              </w:rPr>
              <w:t>Gravitationsgrenzfall</w:t>
            </w:r>
          </w:p>
        </w:tc>
        <w:tc>
          <w:tcPr>
            <w:tcW w:type="dxa" w:w="7030"/>
            <w:vAlign w:val="top"/>
            <w:tcMar>
              <w:top w:w="80" w:type="dxa"/>
              <w:start w:w="80" w:type="dxa"/>
              <w:bottom w:w="80" w:type="dxa"/>
              <w:end w:w="80" w:type="dxa"/>
            </w:tcMar>
          </w:tcPr>
          <w:p>
            <w:r>
              <w:rPr>
                <w:rFonts w:ascii="Liberation Serif" w:hAnsi="Liberation Serif"/>
                <w:sz w:val="17"/>
              </w:rPr>
              <w:t>Wiedergewinnung etablierter GR-Vorhersagen im passenden Bereich.</w:t>
            </w:r>
          </w:p>
        </w:tc>
      </w:tr>
      <w:tr>
        <w:tc>
          <w:tcPr>
            <w:tcW w:type="dxa" w:w="2268"/>
            <w:vAlign w:val="top"/>
            <w:tcMar>
              <w:top w:w="80" w:type="dxa"/>
              <w:start w:w="80" w:type="dxa"/>
              <w:bottom w:w="80" w:type="dxa"/>
              <w:end w:w="80" w:type="dxa"/>
            </w:tcMar>
          </w:tcPr>
          <w:p>
            <w:r>
              <w:rPr>
                <w:rFonts w:ascii="Liberation Serif" w:hAnsi="Liberation Serif"/>
                <w:sz w:val="17"/>
              </w:rPr>
              <w:t>Dynamik</w:t>
            </w:r>
          </w:p>
        </w:tc>
        <w:tc>
          <w:tcPr>
            <w:tcW w:type="dxa" w:w="7030"/>
            <w:vAlign w:val="top"/>
            <w:tcMar>
              <w:top w:w="80" w:type="dxa"/>
              <w:start w:w="80" w:type="dxa"/>
              <w:bottom w:w="80" w:type="dxa"/>
              <w:end w:w="80" w:type="dxa"/>
            </w:tcMar>
          </w:tcPr>
          <w:p>
            <w:r>
              <w:rPr>
                <w:rFonts w:ascii="Liberation Serif" w:hAnsi="Liberation Serif"/>
                <w:sz w:val="17"/>
              </w:rPr>
              <w:t>Explizite Evolutions-, Pfadgewichts- oder Prozessregel; nicht nur Kinematik.</w:t>
            </w:r>
          </w:p>
        </w:tc>
      </w:tr>
      <w:tr>
        <w:tc>
          <w:tcPr>
            <w:tcW w:type="dxa" w:w="2268"/>
            <w:vAlign w:val="top"/>
            <w:tcMar>
              <w:top w:w="80" w:type="dxa"/>
              <w:start w:w="80" w:type="dxa"/>
              <w:bottom w:w="80" w:type="dxa"/>
              <w:end w:w="80" w:type="dxa"/>
            </w:tcMar>
          </w:tcPr>
          <w:p>
            <w:r>
              <w:rPr>
                <w:rFonts w:ascii="Liberation Serif" w:hAnsi="Liberation Serif"/>
                <w:sz w:val="17"/>
              </w:rPr>
              <w:t>Neuheit/Falsifizierbarkeit</w:t>
            </w:r>
          </w:p>
        </w:tc>
        <w:tc>
          <w:tcPr>
            <w:tcW w:type="dxa" w:w="7030"/>
            <w:vAlign w:val="top"/>
            <w:tcMar>
              <w:top w:w="80" w:type="dxa"/>
              <w:start w:w="80" w:type="dxa"/>
              <w:bottom w:w="80" w:type="dxa"/>
              <w:end w:w="80" w:type="dxa"/>
            </w:tcMar>
          </w:tcPr>
          <w:p>
            <w:r>
              <w:rPr>
                <w:rFonts w:ascii="Liberation Serif" w:hAnsi="Liberation Serif"/>
                <w:sz w:val="17"/>
              </w:rPr>
              <w:t>Mindestens eine von bestehender Theorie unterscheidbare, prinzipiell testbare Vorhersage oder ein formaler Satz mit neuer Erklärungskraft.</w:t>
            </w:r>
          </w:p>
        </w:tc>
      </w:tr>
    </w:tbl>
    <w:p>
      <w:r>
        <w:t>Derzeit ist insbesondere der Dynamikblock offen. Diese Offenheit ist kein Einwand gegen die Verwendung von QIK als Forschungsrahmen; sie begrenzt aber den Status auf ein strukturelles Programm. Ein wissenschaftlich sauberer Text sollte dies offen ausweisen.</w:t>
      </w:r>
    </w:p>
    <w:p>
      <w:pPr>
        <w:pStyle w:val="Heading1"/>
      </w:pPr>
      <w:r>
        <w:t>10 Abgrenzung, Neuheitsanspruch und offene Fragen</w:t>
      </w:r>
    </w:p>
    <w:p>
      <w:pPr>
        <w:pStyle w:val="Heading2"/>
      </w:pPr>
      <w:r>
        <w:t>10.1 Verhältnis zur Causal-Set-Theorie</w:t>
      </w:r>
    </w:p>
    <w:p>
      <w:r>
        <w:t>Die Hypothese eines lokal endlichen, kausal geordneten Ereignisfundaments überschneidet sich direkt mit Causal Set Theory (CST). QIK sollte diese Nähe als Vorteil nutzen: CST liefert einen etablierten mathematischen Vergleichsrahmen und zeigt zugleich die Schwierigkeit des Problems, insbesondere die noch offene vollständige Quantendynamik. Ein tragfähiger QIK-Neuheitsanspruch müsste daher in zusätzlichen formalen Strukturen liegen, etwa einer expliziten operationalen Record-Schicht, einer Informationsmetrik, einem neuartigen Rekonstruktionssatz oder einer testbaren Dynamik.</w:t>
      </w:r>
    </w:p>
    <w:p>
      <w:pPr>
        <w:pStyle w:val="Heading2"/>
      </w:pPr>
      <w:r>
        <w:t>10.2 Informationsontologie</w:t>
      </w:r>
    </w:p>
    <w:p>
      <w:r>
        <w:t>Aussagen wie „Wirklichkeit ist Information“ oder „Information ist fundamentaler als Materie“ können philosophisch diskutiert werden, sind aber physikalisch nur dann produktiv, wenn „Information“ operational definiert ist und messbare Konsequenzen trägt. In dieser Fachfassung wird deshalb ausschließlich die präzise Form verwendet: QIK verlangt Strukturen, die Unterscheidbarkeit, Record-Statistik und kausale Abhängigkeit gemeinsam beschreiben.</w:t>
      </w:r>
    </w:p>
    <w:p>
      <w:pPr>
        <w:pStyle w:val="Heading2"/>
      </w:pPr>
      <w:r>
        <w:t>10.3 Planck-Diskretheit</w:t>
      </w:r>
    </w:p>
    <w:p>
      <w:r>
        <w:t>Die Hypothese einer fundamentalen Diskretheit ist mit mehreren Quantengravitationsprogrammen kompatibel, aber nicht durch dimensionsanalytische Planck-Größen allein bewiesen. QIK sollte daher zwischen „natürlicher Quantengravitationsskala“, „möglicher minimaler Auflösung“ und „lokal endlicher Ontologie“ unterscheiden. Diese drei Aussagen sind logisch verschieden.</w:t>
      </w:r>
    </w:p>
    <w:p>
      <w:pPr>
        <w:pStyle w:val="Heading2"/>
      </w:pPr>
      <w:r>
        <w:t>10.4 Superdeterminismus und gesellschaftliche Aussagen</w:t>
      </w:r>
    </w:p>
    <w:p>
      <w:r>
        <w:t>Die im Ausgangsdokument enthaltene gesellschaftliche Kritik am Superdeterminismus ist nicht Teil des physikalischen QIK-Kerns. Superdeterministische Modelle sind in den Quantenfundamenten eine fachliche Möglichkeit mit spezifischen Annahmen zur Messunabhängigkeit; Behauptungen über breite gesellschaftliche oder psychologische Folgen erfordern eigenständige empirische Evidenz. Für die Fachpublikation werden diese Passagen daher ausgegliedert.</w:t>
      </w:r>
    </w:p>
    <w:p>
      <w:pPr>
        <w:pStyle w:val="Heading2"/>
      </w:pPr>
      <w:r>
        <w:t>10.5 Offene Forschungsfragen</w:t>
      </w:r>
    </w:p>
    <w:p>
      <w:pPr>
        <w:pStyle w:val="ListNumber"/>
      </w:pPr>
      <w:r>
        <w:t>Welche konkrete Dynamik auf (E,≺,μ) erzeugt robuste, manifoldartige Makrogeometrien?</w:t>
      </w:r>
    </w:p>
    <w:p>
      <w:pPr>
        <w:pStyle w:val="ListNumber"/>
      </w:pPr>
      <w:r>
        <w:t>Welche mathematische Informationsstruktur I ist invariant genug, um domänenübergreifend sinnvoll zu sein, ohne bloß metaphorisch zu bleiben?</w:t>
      </w:r>
    </w:p>
    <w:p>
      <w:pPr>
        <w:pStyle w:val="ListNumber"/>
      </w:pPr>
      <w:r>
        <w:t>Wie werden quantenmechanische Amplituden oder äquivalente Prozessgewichte in die Ereignis-/Record-Struktur eingebettet?</w:t>
      </w:r>
    </w:p>
    <w:p>
      <w:pPr>
        <w:pStyle w:val="ListNumber"/>
      </w:pPr>
      <w:r>
        <w:t>Welche Bedingung trennt genau die quantenmechanisch möglichen Korrelationen von allgemeineren no-signalling-Korrelationen?</w:t>
      </w:r>
    </w:p>
    <w:p>
      <w:pPr>
        <w:pStyle w:val="ListNumber"/>
      </w:pPr>
      <w:r>
        <w:t>Wie entsteht ein lokaler Energie-Impuls-Begriff und wie koppelt er an die rekonstruierte Geometrie?</w:t>
      </w:r>
    </w:p>
    <w:p>
      <w:pPr>
        <w:pStyle w:val="ListNumber"/>
      </w:pPr>
      <w:r>
        <w:t>Welche empirische Signatur unterscheidet QIK von bestehenden Causal-Set- oder anderen Quantengravitationsansätzen?</w:t>
      </w:r>
    </w:p>
    <w:p>
      <w:pPr>
        <w:pStyle w:val="Heading1"/>
      </w:pPr>
      <w:r>
        <w:t>11 Schluss</w:t>
      </w:r>
    </w:p>
    <w:p>
      <w:r>
        <w:t>Der wissenschaftlich belastbare Kern von QIK lässt sich in einem Satz zusammenfassen: Eine physikalische Fundamentbeschreibung kann versuchsweise so organisiert werden, dass Quantität als Maß-/Zählstruktur, Information als operationale Unterscheidbarkeit und Kausalität als geordnete Abhängigkeitsstruktur gemeinsam auf endliche lokale Records bezogen werden; Raumzeit und Gravitation wären dann nicht vorausgesetzt, sondern im Erfolgsfall als effektive Strukturen zu rekonstruieren.</w:t>
      </w:r>
    </w:p>
    <w:p>
      <w:r>
        <w:t>Diese Formulierung ist absichtlich schwächer als ein ontologischer Beweis, aber wissenschaftlich stärker: Sie trennt Motivation von Schluss, Interpretation von Messresultat und Forschungsziel von erreichtem Resultat. Der nächste entscheidende Schritt ist daher nicht eine weitere rhetorische Verdichtung, sondern eine konkrete Dynamik mit quantitativen Rekonstruktions- und Quantenbenchmarks.</w:t>
      </w:r>
    </w:p>
    <w:p>
      <w:pPr>
        <w:pStyle w:val="Heading1"/>
      </w:pPr>
      <w:r>
        <w:t>A Anhang: Zuordnung zum Ausgangsdokument</w:t>
      </w:r>
    </w:p>
    <w:tbl>
      <w:tblPr>
        <w:tblStyle w:val="TableGrid"/>
        <w:tblW w:type="auto" w:w="0"/>
        <w:jc w:val="center"/>
        <w:tblLook w:firstColumn="1" w:firstRow="1" w:lastColumn="0" w:lastRow="0" w:noHBand="0" w:noVBand="1" w:val="04A0"/>
      </w:tblPr>
      <w:tblGrid>
        <w:gridCol w:w="4649"/>
        <w:gridCol w:w="4649"/>
      </w:tblGrid>
      <w:tr>
        <w:tc>
          <w:tcPr>
            <w:tcW w:type="dxa" w:w="3515"/>
            <w:shd w:fill="D9EAF7"/>
            <w:vAlign w:val="center"/>
            <w:tcMar>
              <w:top w:w="80" w:type="dxa"/>
              <w:start w:w="80" w:type="dxa"/>
              <w:bottom w:w="80" w:type="dxa"/>
              <w:end w:w="80" w:type="dxa"/>
            </w:tcMar>
          </w:tcPr>
          <w:p>
            <w:r>
              <w:rPr>
                <w:rFonts w:ascii="Liberation Sans" w:hAnsi="Liberation Sans"/>
                <w:b/>
                <w:sz w:val="16"/>
              </w:rPr>
              <w:t>Ausgangsdokument</w:t>
            </w:r>
          </w:p>
        </w:tc>
        <w:tc>
          <w:tcPr>
            <w:tcW w:type="dxa" w:w="5783"/>
            <w:shd w:fill="D9EAF7"/>
            <w:vAlign w:val="center"/>
            <w:tcMar>
              <w:top w:w="80" w:type="dxa"/>
              <w:start w:w="80" w:type="dxa"/>
              <w:bottom w:w="80" w:type="dxa"/>
              <w:end w:w="80" w:type="dxa"/>
            </w:tcMar>
          </w:tcPr>
          <w:p>
            <w:r>
              <w:rPr>
                <w:rFonts w:ascii="Liberation Sans" w:hAnsi="Liberation Sans"/>
                <w:b/>
                <w:sz w:val="16"/>
              </w:rPr>
              <w:t>Übernahme in Fachfassung</w:t>
            </w:r>
          </w:p>
        </w:tc>
      </w:tr>
      <w:tr>
        <w:tc>
          <w:tcPr>
            <w:tcW w:type="dxa" w:w="3515"/>
            <w:vAlign w:val="top"/>
            <w:tcMar>
              <w:top w:w="80" w:type="dxa"/>
              <w:start w:w="80" w:type="dxa"/>
              <w:bottom w:w="80" w:type="dxa"/>
              <w:end w:w="80" w:type="dxa"/>
            </w:tcMar>
          </w:tcPr>
          <w:p>
            <w:r>
              <w:rPr>
                <w:rFonts w:ascii="Liberation Serif" w:hAnsi="Liberation Serif"/>
                <w:sz w:val="16"/>
              </w:rPr>
              <w:t>Grundsatz „keine neuen Naturgesetze“</w:t>
            </w:r>
          </w:p>
        </w:tc>
        <w:tc>
          <w:tcPr>
            <w:tcW w:type="dxa" w:w="5783"/>
            <w:vAlign w:val="top"/>
            <w:tcMar>
              <w:top w:w="80" w:type="dxa"/>
              <w:start w:w="80" w:type="dxa"/>
              <w:bottom w:w="80" w:type="dxa"/>
              <w:end w:w="80" w:type="dxa"/>
            </w:tcMar>
          </w:tcPr>
          <w:p>
            <w:r>
              <w:rPr>
                <w:rFonts w:ascii="Liberation Serif" w:hAnsi="Liberation Serif"/>
                <w:sz w:val="16"/>
              </w:rPr>
              <w:t>Als Scope- und Neuheitsbegrenzung ausdrücklich übernommen.</w:t>
            </w:r>
          </w:p>
        </w:tc>
      </w:tr>
      <w:tr>
        <w:tc>
          <w:tcPr>
            <w:tcW w:type="dxa" w:w="3515"/>
            <w:vAlign w:val="top"/>
            <w:tcMar>
              <w:top w:w="80" w:type="dxa"/>
              <w:start w:w="80" w:type="dxa"/>
              <w:bottom w:w="80" w:type="dxa"/>
              <w:end w:w="80" w:type="dxa"/>
            </w:tcMar>
          </w:tcPr>
          <w:p>
            <w:r>
              <w:rPr>
                <w:rFonts w:ascii="Liberation Serif" w:hAnsi="Liberation Serif"/>
                <w:sz w:val="16"/>
              </w:rPr>
              <w:t>A1–A5</w:t>
            </w:r>
          </w:p>
        </w:tc>
        <w:tc>
          <w:tcPr>
            <w:tcW w:type="dxa" w:w="5783"/>
            <w:vAlign w:val="top"/>
            <w:tcMar>
              <w:top w:w="80" w:type="dxa"/>
              <w:start w:w="80" w:type="dxa"/>
              <w:bottom w:w="80" w:type="dxa"/>
              <w:end w:w="80" w:type="dxa"/>
            </w:tcMar>
          </w:tcPr>
          <w:p>
            <w:r>
              <w:rPr>
                <w:rFonts w:ascii="Liberation Serif" w:hAnsi="Liberation Serif"/>
                <w:sz w:val="16"/>
              </w:rPr>
              <w:t>In B-/D-/H-Statusklassen zerlegt; A3/A5 nicht mehr als zwingende Folgerungen.</w:t>
            </w:r>
          </w:p>
        </w:tc>
      </w:tr>
      <w:tr>
        <w:tc>
          <w:tcPr>
            <w:tcW w:type="dxa" w:w="3515"/>
            <w:vAlign w:val="top"/>
            <w:tcMar>
              <w:top w:w="80" w:type="dxa"/>
              <w:start w:w="80" w:type="dxa"/>
              <w:bottom w:w="80" w:type="dxa"/>
              <w:end w:w="80" w:type="dxa"/>
            </w:tcMar>
          </w:tcPr>
          <w:p>
            <w:r>
              <w:rPr>
                <w:rFonts w:ascii="Liberation Serif" w:hAnsi="Liberation Serif"/>
                <w:sz w:val="16"/>
              </w:rPr>
              <w:t>S1–S8</w:t>
            </w:r>
          </w:p>
        </w:tc>
        <w:tc>
          <w:tcPr>
            <w:tcW w:type="dxa" w:w="5783"/>
            <w:vAlign w:val="top"/>
            <w:tcMar>
              <w:top w:w="80" w:type="dxa"/>
              <w:start w:w="80" w:type="dxa"/>
              <w:bottom w:w="80" w:type="dxa"/>
              <w:end w:w="80" w:type="dxa"/>
            </w:tcMar>
          </w:tcPr>
          <w:p>
            <w:r>
              <w:rPr>
                <w:rFonts w:ascii="Liberation Serif" w:hAnsi="Liberation Serif"/>
                <w:sz w:val="16"/>
              </w:rPr>
              <w:t>In Hintergrund, Interpretation, Hypothesen und Requirements verteilt.</w:t>
            </w:r>
          </w:p>
        </w:tc>
      </w:tr>
      <w:tr>
        <w:tc>
          <w:tcPr>
            <w:tcW w:type="dxa" w:w="3515"/>
            <w:vAlign w:val="top"/>
            <w:tcMar>
              <w:top w:w="80" w:type="dxa"/>
              <w:start w:w="80" w:type="dxa"/>
              <w:bottom w:w="80" w:type="dxa"/>
              <w:end w:w="80" w:type="dxa"/>
            </w:tcMar>
          </w:tcPr>
          <w:p>
            <w:r>
              <w:rPr>
                <w:rFonts w:ascii="Liberation Serif" w:hAnsi="Liberation Serif"/>
                <w:sz w:val="16"/>
              </w:rPr>
              <w:t>„Welle = Möglichkeit / Teilchen = Record“</w:t>
            </w:r>
          </w:p>
        </w:tc>
        <w:tc>
          <w:tcPr>
            <w:tcW w:type="dxa" w:w="5783"/>
            <w:vAlign w:val="top"/>
            <w:tcMar>
              <w:top w:w="80" w:type="dxa"/>
              <w:start w:w="80" w:type="dxa"/>
              <w:bottom w:w="80" w:type="dxa"/>
              <w:end w:w="80" w:type="dxa"/>
            </w:tcMar>
          </w:tcPr>
          <w:p>
            <w:r>
              <w:rPr>
                <w:rFonts w:ascii="Liberation Serif" w:hAnsi="Liberation Serif"/>
                <w:sz w:val="16"/>
              </w:rPr>
              <w:t>Als operationale Interpretation I1 beibehalten.</w:t>
            </w:r>
          </w:p>
        </w:tc>
      </w:tr>
      <w:tr>
        <w:tc>
          <w:tcPr>
            <w:tcW w:type="dxa" w:w="3515"/>
            <w:vAlign w:val="top"/>
            <w:tcMar>
              <w:top w:w="80" w:type="dxa"/>
              <w:start w:w="80" w:type="dxa"/>
              <w:bottom w:w="80" w:type="dxa"/>
              <w:end w:w="80" w:type="dxa"/>
            </w:tcMar>
          </w:tcPr>
          <w:p>
            <w:r>
              <w:rPr>
                <w:rFonts w:ascii="Liberation Serif" w:hAnsi="Liberation Serif"/>
                <w:sz w:val="16"/>
              </w:rPr>
              <w:t>„Planck-Kante“</w:t>
            </w:r>
          </w:p>
        </w:tc>
        <w:tc>
          <w:tcPr>
            <w:tcW w:type="dxa" w:w="5783"/>
            <w:vAlign w:val="top"/>
            <w:tcMar>
              <w:top w:w="80" w:type="dxa"/>
              <w:start w:w="80" w:type="dxa"/>
              <w:bottom w:w="80" w:type="dxa"/>
              <w:end w:w="80" w:type="dxa"/>
            </w:tcMar>
          </w:tcPr>
          <w:p>
            <w:r>
              <w:rPr>
                <w:rFonts w:ascii="Liberation Serif" w:hAnsi="Liberation Serif"/>
                <w:sz w:val="16"/>
              </w:rPr>
              <w:t>Zu „Planck-Bereich als Regimehypothese“ abgeschwächt.</w:t>
            </w:r>
          </w:p>
        </w:tc>
      </w:tr>
      <w:tr>
        <w:tc>
          <w:tcPr>
            <w:tcW w:type="dxa" w:w="3515"/>
            <w:vAlign w:val="top"/>
            <w:tcMar>
              <w:top w:w="80" w:type="dxa"/>
              <w:start w:w="80" w:type="dxa"/>
              <w:bottom w:w="80" w:type="dxa"/>
              <w:end w:w="80" w:type="dxa"/>
            </w:tcMar>
          </w:tcPr>
          <w:p>
            <w:r>
              <w:rPr>
                <w:rFonts w:ascii="Liberation Serif" w:hAnsi="Liberation Serif"/>
                <w:sz w:val="16"/>
              </w:rPr>
              <w:t>„Raumzeit ist Rekonstruktion“</w:t>
            </w:r>
          </w:p>
        </w:tc>
        <w:tc>
          <w:tcPr>
            <w:tcW w:type="dxa" w:w="5783"/>
            <w:vAlign w:val="top"/>
            <w:tcMar>
              <w:top w:w="80" w:type="dxa"/>
              <w:start w:w="80" w:type="dxa"/>
              <w:bottom w:w="80" w:type="dxa"/>
              <w:end w:w="80" w:type="dxa"/>
            </w:tcMar>
          </w:tcPr>
          <w:p>
            <w:r>
              <w:rPr>
                <w:rFonts w:ascii="Liberation Serif" w:hAnsi="Liberation Serif"/>
                <w:sz w:val="16"/>
              </w:rPr>
              <w:t>Als explizites Rekonstruktionsziel ℛ_Λ formuliert.</w:t>
            </w:r>
          </w:p>
        </w:tc>
      </w:tr>
      <w:tr>
        <w:tc>
          <w:tcPr>
            <w:tcW w:type="dxa" w:w="3515"/>
            <w:vAlign w:val="top"/>
            <w:tcMar>
              <w:top w:w="80" w:type="dxa"/>
              <w:start w:w="80" w:type="dxa"/>
              <w:bottom w:w="80" w:type="dxa"/>
              <w:end w:w="80" w:type="dxa"/>
            </w:tcMar>
          </w:tcPr>
          <w:p>
            <w:r>
              <w:rPr>
                <w:rFonts w:ascii="Liberation Serif" w:hAnsi="Liberation Serif"/>
                <w:sz w:val="16"/>
              </w:rPr>
              <w:t>„Quantenkorrelationen = Constraints“</w:t>
            </w:r>
          </w:p>
        </w:tc>
        <w:tc>
          <w:tcPr>
            <w:tcW w:type="dxa" w:w="5783"/>
            <w:vAlign w:val="top"/>
            <w:tcMar>
              <w:top w:w="80" w:type="dxa"/>
              <w:start w:w="80" w:type="dxa"/>
              <w:bottom w:w="80" w:type="dxa"/>
              <w:end w:w="80" w:type="dxa"/>
            </w:tcMar>
          </w:tcPr>
          <w:p>
            <w:r>
              <w:rPr>
                <w:rFonts w:ascii="Liberation Serif" w:hAnsi="Liberation Serif"/>
                <w:sz w:val="16"/>
              </w:rPr>
              <w:t>Als Interpretationssprache beibehalten, aber um Bell-/Born-/No-Signalling-Benchmarks ergänzt.</w:t>
            </w:r>
          </w:p>
        </w:tc>
      </w:tr>
      <w:tr>
        <w:tc>
          <w:tcPr>
            <w:tcW w:type="dxa" w:w="3515"/>
            <w:vAlign w:val="top"/>
            <w:tcMar>
              <w:top w:w="80" w:type="dxa"/>
              <w:start w:w="80" w:type="dxa"/>
              <w:bottom w:w="80" w:type="dxa"/>
              <w:end w:w="80" w:type="dxa"/>
            </w:tcMar>
          </w:tcPr>
          <w:p>
            <w:r>
              <w:rPr>
                <w:rFonts w:ascii="Liberation Serif" w:hAnsi="Liberation Serif"/>
                <w:sz w:val="16"/>
              </w:rPr>
              <w:t>„Antiwelle“</w:t>
            </w:r>
          </w:p>
        </w:tc>
        <w:tc>
          <w:tcPr>
            <w:tcW w:type="dxa" w:w="5783"/>
            <w:vAlign w:val="top"/>
            <w:tcMar>
              <w:top w:w="80" w:type="dxa"/>
              <w:start w:w="80" w:type="dxa"/>
              <w:bottom w:w="80" w:type="dxa"/>
              <w:end w:w="80" w:type="dxa"/>
            </w:tcMar>
          </w:tcPr>
          <w:p>
            <w:r>
              <w:rPr>
                <w:rFonts w:ascii="Liberation Serif" w:hAnsi="Liberation Serif"/>
                <w:sz w:val="16"/>
              </w:rPr>
              <w:t>Auf linearisierte gegenphasige Interferenz begrenzt.</w:t>
            </w:r>
          </w:p>
        </w:tc>
      </w:tr>
      <w:tr>
        <w:tc>
          <w:tcPr>
            <w:tcW w:type="dxa" w:w="3515"/>
            <w:vAlign w:val="top"/>
            <w:tcMar>
              <w:top w:w="80" w:type="dxa"/>
              <w:start w:w="80" w:type="dxa"/>
              <w:bottom w:w="80" w:type="dxa"/>
              <w:end w:w="80" w:type="dxa"/>
            </w:tcMar>
          </w:tcPr>
          <w:p>
            <w:r>
              <w:rPr>
                <w:rFonts w:ascii="Liberation Serif" w:hAnsi="Liberation Serif"/>
                <w:sz w:val="16"/>
              </w:rPr>
              <w:t>5 Runden / 9 Iterationen / 10 Ebenen / Vorwärts-Rückwärts</w:t>
            </w:r>
          </w:p>
        </w:tc>
        <w:tc>
          <w:tcPr>
            <w:tcW w:type="dxa" w:w="5783"/>
            <w:vAlign w:val="top"/>
            <w:tcMar>
              <w:top w:w="80" w:type="dxa"/>
              <w:start w:w="80" w:type="dxa"/>
              <w:bottom w:w="80" w:type="dxa"/>
              <w:end w:w="80" w:type="dxa"/>
            </w:tcMar>
          </w:tcPr>
          <w:p>
            <w:r>
              <w:rPr>
                <w:rFonts w:ascii="Liberation Serif" w:hAnsi="Liberation Serif"/>
                <w:sz w:val="16"/>
              </w:rPr>
              <w:t>Zu einer einzigen linearen Argumentationsstruktur zusammengeführt.</w:t>
            </w:r>
          </w:p>
        </w:tc>
      </w:tr>
      <w:tr>
        <w:tc>
          <w:tcPr>
            <w:tcW w:type="dxa" w:w="3515"/>
            <w:vAlign w:val="top"/>
            <w:tcMar>
              <w:top w:w="80" w:type="dxa"/>
              <w:start w:w="80" w:type="dxa"/>
              <w:bottom w:w="80" w:type="dxa"/>
              <w:end w:w="80" w:type="dxa"/>
            </w:tcMar>
          </w:tcPr>
          <w:p>
            <w:r>
              <w:rPr>
                <w:rFonts w:ascii="Liberation Serif" w:hAnsi="Liberation Serif"/>
                <w:sz w:val="16"/>
              </w:rPr>
              <w:t>Mythologie, Religion, Sci-Fi, Kommunikation über Zeit</w:t>
            </w:r>
          </w:p>
        </w:tc>
        <w:tc>
          <w:tcPr>
            <w:tcW w:type="dxa" w:w="5783"/>
            <w:vAlign w:val="top"/>
            <w:tcMar>
              <w:top w:w="80" w:type="dxa"/>
              <w:start w:w="80" w:type="dxa"/>
              <w:bottom w:w="80" w:type="dxa"/>
              <w:end w:w="80" w:type="dxa"/>
            </w:tcMar>
          </w:tcPr>
          <w:p>
            <w:r>
              <w:rPr>
                <w:rFonts w:ascii="Liberation Serif" w:hAnsi="Liberation Serif"/>
                <w:sz w:val="16"/>
              </w:rPr>
              <w:t>Aus wissenschaftlicher Fachfassung entfernt; für Essay/Outreach separat nutzbar.</w:t>
            </w:r>
          </w:p>
        </w:tc>
      </w:tr>
      <w:tr>
        <w:tc>
          <w:tcPr>
            <w:tcW w:type="dxa" w:w="3515"/>
            <w:vAlign w:val="top"/>
            <w:tcMar>
              <w:top w:w="80" w:type="dxa"/>
              <w:start w:w="80" w:type="dxa"/>
              <w:bottom w:w="80" w:type="dxa"/>
              <w:end w:w="80" w:type="dxa"/>
            </w:tcMar>
          </w:tcPr>
          <w:p>
            <w:r>
              <w:rPr>
                <w:rFonts w:ascii="Liberation Serif" w:hAnsi="Liberation Serif"/>
                <w:sz w:val="16"/>
              </w:rPr>
              <w:t>Superdeterminismus als gesellschaftliche Gefahr</w:t>
            </w:r>
          </w:p>
        </w:tc>
        <w:tc>
          <w:tcPr>
            <w:tcW w:type="dxa" w:w="5783"/>
            <w:vAlign w:val="top"/>
            <w:tcMar>
              <w:top w:w="80" w:type="dxa"/>
              <w:start w:w="80" w:type="dxa"/>
              <w:bottom w:w="80" w:type="dxa"/>
              <w:end w:w="80" w:type="dxa"/>
            </w:tcMar>
          </w:tcPr>
          <w:p>
            <w:r>
              <w:rPr>
                <w:rFonts w:ascii="Liberation Serif" w:hAnsi="Liberation Serif"/>
                <w:sz w:val="16"/>
              </w:rPr>
              <w:t>Aus Physikmanuskript entfernt; erfordert eigene sozialwissenschaftliche Evidenz.</w:t>
            </w:r>
          </w:p>
        </w:tc>
      </w:tr>
      <w:tr>
        <w:tc>
          <w:tcPr>
            <w:tcW w:type="dxa" w:w="3515"/>
            <w:vAlign w:val="top"/>
            <w:tcMar>
              <w:top w:w="80" w:type="dxa"/>
              <w:start w:w="80" w:type="dxa"/>
              <w:bottom w:w="80" w:type="dxa"/>
              <w:end w:w="80" w:type="dxa"/>
            </w:tcMar>
          </w:tcPr>
          <w:p>
            <w:r>
              <w:rPr>
                <w:rFonts w:ascii="Liberation Serif" w:hAnsi="Liberation Serif"/>
                <w:sz w:val="16"/>
              </w:rPr>
              <w:t>„q.e.d.“ / „DONE“</w:t>
            </w:r>
          </w:p>
        </w:tc>
        <w:tc>
          <w:tcPr>
            <w:tcW w:type="dxa" w:w="5783"/>
            <w:vAlign w:val="top"/>
            <w:tcMar>
              <w:top w:w="80" w:type="dxa"/>
              <w:start w:w="80" w:type="dxa"/>
              <w:bottom w:w="80" w:type="dxa"/>
              <w:end w:w="80" w:type="dxa"/>
            </w:tcMar>
          </w:tcPr>
          <w:p>
            <w:r>
              <w:rPr>
                <w:rFonts w:ascii="Liberation Serif" w:hAnsi="Liberation Serif"/>
                <w:sz w:val="16"/>
              </w:rPr>
              <w:t>Durch statusgenaue Aussagen und offene Prüfpflichten ersetzt.</w:t>
            </w:r>
          </w:p>
        </w:tc>
      </w:tr>
    </w:tbl>
    <w:p>
      <w:pPr>
        <w:pStyle w:val="Heading1"/>
      </w:pPr>
      <w:r>
        <w:t>B Literatur</w:t>
      </w:r>
    </w:p>
    <w:p>
      <w:pPr>
        <w:ind w:hanging="312" w:left="312"/>
      </w:pPr>
      <w:r>
        <w:t>Bell, J. S. (1964). On the Einstein Podolsky Rosen paradox. Physics Physique Fizika 1, 195–200. https://doi.org/10.1103/PhysicsPhysiqueFizika.1.195</w:t>
      </w:r>
    </w:p>
    <w:p>
      <w:pPr>
        <w:ind w:hanging="312" w:left="312"/>
      </w:pPr>
      <w:r>
        <w:t>Bombelli, L., Lee, J., Meyer, D., &amp; Sorkin, R. D. (1987). Space-time as a causal set. Physical Review Letters 59, 521–524. https://doi.org/10.1103/PhysRevLett.59.521</w:t>
      </w:r>
    </w:p>
    <w:p>
      <w:pPr>
        <w:ind w:hanging="312" w:left="312"/>
      </w:pPr>
      <w:r>
        <w:t>Brunner, N., Cavalcanti, D., Pironio, S., Scarani, V., &amp; Wehner, S. (2014). Bell nonlocality. Reviews of Modern Physics 86, 419–478. https://doi.org/10.1103/RevModPhys.86.419</w:t>
      </w:r>
    </w:p>
    <w:p>
      <w:pPr>
        <w:ind w:hanging="312" w:left="312"/>
      </w:pPr>
      <w:r>
        <w:t>Einstein, A. (1905). Zur Elektrodynamik bewegter Körper. Annalen der Physik 17, 891–921.</w:t>
      </w:r>
    </w:p>
    <w:p>
      <w:pPr>
        <w:ind w:hanging="312" w:left="312"/>
      </w:pPr>
      <w:r>
        <w:t>Hawking, S. W., King, A. R., &amp; McCarthy, P. J. (1976). A new topology for curved space-time which incorporates the causal, differential, and conformal structures. Journal of Mathematical Physics 17. https://doi.org/10.1063/1.522874</w:t>
      </w:r>
    </w:p>
    <w:p>
      <w:pPr>
        <w:ind w:hanging="312" w:left="312"/>
      </w:pPr>
      <w:r>
        <w:t>Hossenfelder, S. (2013). Minimal Length Scale Scenarios for Quantum Gravity. Living Reviews in Relativity 16, 2. https://doi.org/10.12942/lrr-2013-2</w:t>
      </w:r>
    </w:p>
    <w:p>
      <w:pPr>
        <w:ind w:hanging="312" w:left="312"/>
      </w:pPr>
      <w:r>
        <w:t>Malament, D. B. (1977). The class of continuous timelike curves determines the topology of spacetime. Journal of Mathematical Physics 18, 1399–1404. https://doi.org/10.1063/1.523436</w:t>
      </w:r>
    </w:p>
    <w:p>
      <w:pPr>
        <w:ind w:hanging="312" w:left="312"/>
      </w:pPr>
      <w:r>
        <w:t>Surya, S. (2019). The causal set approach to quantum gravity. Living Reviews in Relativity 22, 5. https://doi.org/10.1007/s41114-019-0023-1</w:t>
      </w:r>
    </w:p>
    <w:p>
      <w:pPr>
        <w:ind w:hanging="312" w:left="312"/>
      </w:pPr>
      <w:r>
        <w:t>Teukolsky, S. A. (1982). Linearized quadrupole waves in general relativity and the motion of test particles. Physical Review D 26, 745. https://doi.org/10.1103/PhysRevD.26.745</w:t>
      </w:r>
    </w:p>
    <w:p>
      <w:pPr>
        <w:ind w:hanging="312" w:left="312"/>
      </w:pPr>
      <w:r>
        <w:t>Wald, R. M. (1984). General Relativity. University of Chicago Press.</w:t>
      </w:r>
    </w:p>
    <w:p>
      <w:pPr>
        <w:ind w:hanging="312" w:left="312"/>
      </w:pPr>
      <w:r>
        <w:t>Wharton, K. B., &amp; Argaman, N. (2020). Colloquium: Bell’s theorem and locally mediated reformulations of quantum mechanics. Reviews of Modern Physics 92, 021002. https://doi.org/10.1103/RevModPhys.92.021002</w:t>
      </w:r>
    </w:p>
    <w:p>
      <w:pPr>
        <w:ind w:hanging="312" w:left="312"/>
      </w:pPr>
      <w:r>
        <w:t>Zurek, W. H. (2003). Decoherence, einselection, and the quantum origins of the classical. Reviews of Modern Physics 75, 715–775. https://doi.org/10.1103/RevModPhys.75.715</w:t>
      </w:r>
    </w:p>
    <w:sectPr w:rsidR="00FC693F" w:rsidRPr="0006063C" w:rsidSect="00034616">
      <w:headerReference w:type="default" r:id="rId9"/>
      <w:footerReference w:type="default" r:id="rId10"/>
      <w:pgSz w:w="11906" w:h="16838"/>
      <w:pgMar w:top="1247" w:right="1304" w:bottom="1134" w:left="1304" w:header="510" w:footer="51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Liberation Sans" w:hAnsi="Liberation Sans"/>
        <w:color w:val="666666"/>
        <w:sz w:val="16"/>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Liberation Sans" w:hAnsi="Liberation Sans"/>
        <w:color w:val="666666"/>
        <w:sz w:val="16"/>
      </w:rPr>
      <w:t>QIK – Revidierte Publikationsfassung</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69" w:lineRule="auto"/>
    </w:pPr>
    <w:rPr>
      <w:rFonts w:ascii="Liberation Serif" w:hAnsi="Liberation Serif"/>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Liberation Sans" w:hAnsi="Liberation Sans"/>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Liberation Sans" w:hAnsi="Liberation Sans"/>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Liberation Sans" w:hAnsi="Liberation Sans"/>
      <w:b/>
      <w:bCs/>
      <w:color w:val="1F4E79"/>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Liberation Sans" w:hAnsi="Liberation Sans"/>
      <w:color w:val="222222"/>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Liberation Sans" w:hAnsi="Liberation Sans"/>
      <w:i/>
      <w:iCs/>
      <w:color w:val="222222"/>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Equation">
    <w:name w:val="Equation"/>
    <w:pPr>
      <w:spacing w:before="80" w:after="120"/>
    </w:pPr>
    <w:rPr>
      <w:rFonts w:ascii="Liberation Serif" w:hAnsi="Liberation Serif"/>
      <w:sz w:val="21"/>
    </w:rPr>
  </w:style>
  <w:style w:type="paragraph" w:customStyle="1" w:styleId="SmallNote">
    <w:name w:val="Small Note"/>
    <w:pPr>
      <w:spacing w:after="60"/>
    </w:pPr>
    <w:rPr>
      <w:rFonts w:ascii="Liberation Sans" w:hAnsi="Liberation Sans"/>
      <w:color w:val="666666"/>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