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QIK – Wissenschaftlicher Revisionsbericht</w:t>
      </w:r>
    </w:p>
    <w:p>
      <w:pPr>
        <w:pStyle w:val="Subtitle"/>
        <w:jc w:val="center"/>
      </w:pPr>
      <w:r>
        <w:t>Gesamtrevision, logische und physikalische Konsistenzprüfung, Redundanzanalyse und Formalisierung</w:t>
      </w:r>
    </w:p>
    <w:p/>
    <w:p>
      <w:pPr>
        <w:jc w:val="center"/>
      </w:pPr>
      <w:r>
        <w:rPr>
          <w:rFonts w:ascii="Liberation Sans" w:hAnsi="Liberation Sans"/>
          <w:b/>
          <w:sz w:val="24"/>
        </w:rPr>
        <w:t>Ingolf Lohmann</w:t>
      </w:r>
    </w:p>
    <w:p>
      <w:pPr>
        <w:pStyle w:val="SmallNote"/>
        <w:jc w:val="center"/>
      </w:pPr>
      <w:r>
        <w:t>Wissenschaftliche Revision: 23. September 2026</w:t>
      </w:r>
    </w:p>
    <w:p/>
    <w:tbl>
      <w:tblPr>
        <w:tblW w:type="auto" w:w="0"/>
        <w:jc w:val="center"/>
        <w:tblLayout w:type="fixed"/>
        <w:tblLook w:firstColumn="1" w:firstRow="1" w:lastColumn="0" w:lastRow="0" w:noHBand="0" w:noVBand="1" w:val="04A0"/>
      </w:tblPr>
      <w:tblGrid>
        <w:gridCol w:w="9298"/>
      </w:tblGrid>
      <w:tr>
        <w:tc>
          <w:tcPr>
            <w:tcW w:type="dxa" w:w="8220"/>
            <w:shd w:fill="F3F7FA"/>
            <w:tcMar>
              <w:top w:w="180" w:type="dxa"/>
              <w:start w:w="220" w:type="dxa"/>
              <w:bottom w:w="180" w:type="dxa"/>
              <w:end w:w="220" w:type="dxa"/>
            </w:tcMar>
          </w:tcPr>
          <w:p>
            <w:pPr>
              <w:jc w:val="left"/>
            </w:pPr>
            <w:r>
              <w:rPr>
                <w:b/>
              </w:rPr>
              <w:t xml:space="preserve">Wissenschaftlicher Status. </w:t>
            </w:r>
            <w:r>
              <w:t>Diese Fassung behandelt QIK als konzeptionelles Forschungsrahmenwerk. Etablierte Physik, interpretative Lesarten, Hypothesen und noch zu erfüllende Modellanforderungen werden ausdrücklich getrennt. Sie beansprucht keine abgeschlossene Quantengravitationstheorie und keine Ableitung neuer Naturgesetze.</w:t>
            </w:r>
          </w:p>
        </w:tc>
      </w:tr>
    </w:tbl>
    <w:p>
      <w:r>
        <w:br w:type="page"/>
      </w:r>
    </w:p>
    <w:p>
      <w:pPr>
        <w:pStyle w:val="Heading1"/>
      </w:pPr>
      <w:r>
        <w:t>Inhalt</w:t>
      </w:r>
    </w:p>
    <w:p>
      <w:pPr>
        <w:ind w:left="0"/>
      </w:pPr>
      <w:r>
        <w:rPr>
          <w:rFonts w:ascii="Liberation Sans" w:hAnsi="Liberation Sans"/>
          <w:sz w:val="19"/>
        </w:rPr>
        <w:t>1  Kurzbefund</w:t>
      </w:r>
    </w:p>
    <w:p>
      <w:pPr>
        <w:ind w:left="0"/>
      </w:pPr>
      <w:r>
        <w:rPr>
          <w:rFonts w:ascii="Liberation Sans" w:hAnsi="Liberation Sans"/>
          <w:sz w:val="19"/>
        </w:rPr>
        <w:t>2  Methodik und Statusklassen</w:t>
      </w:r>
    </w:p>
    <w:p>
      <w:pPr>
        <w:ind w:left="0"/>
      </w:pPr>
      <w:r>
        <w:rPr>
          <w:rFonts w:ascii="Liberation Sans" w:hAnsi="Liberation Sans"/>
          <w:sz w:val="19"/>
        </w:rPr>
        <w:t>3  Logische Konsistenzprüfung</w:t>
      </w:r>
    </w:p>
    <w:p>
      <w:pPr>
        <w:ind w:left="0"/>
      </w:pPr>
      <w:r>
        <w:rPr>
          <w:rFonts w:ascii="Liberation Sans" w:hAnsi="Liberation Sans"/>
          <w:sz w:val="19"/>
        </w:rPr>
        <w:t>4  Physikalische Konsistenzprüfung</w:t>
      </w:r>
    </w:p>
    <w:p>
      <w:pPr>
        <w:ind w:left="0"/>
      </w:pPr>
      <w:r>
        <w:rPr>
          <w:rFonts w:ascii="Liberation Sans" w:hAnsi="Liberation Sans"/>
          <w:sz w:val="19"/>
        </w:rPr>
        <w:t>5  Redundanz- und Strukturprüfung</w:t>
      </w:r>
    </w:p>
    <w:p>
      <w:pPr>
        <w:ind w:left="0"/>
      </w:pPr>
      <w:r>
        <w:rPr>
          <w:rFonts w:ascii="Liberation Sans" w:hAnsi="Liberation Sans"/>
          <w:sz w:val="19"/>
        </w:rPr>
        <w:t>6  Formalisierung des QIK-Kerns</w:t>
      </w:r>
    </w:p>
    <w:p>
      <w:pPr>
        <w:ind w:left="0"/>
      </w:pPr>
      <w:r>
        <w:rPr>
          <w:rFonts w:ascii="Liberation Sans" w:hAnsi="Liberation Sans"/>
          <w:sz w:val="19"/>
        </w:rPr>
        <w:t>7  Publikationsstrategie</w:t>
      </w:r>
    </w:p>
    <w:p>
      <w:pPr>
        <w:ind w:left="0"/>
      </w:pPr>
      <w:r>
        <w:rPr>
          <w:rFonts w:ascii="Liberation Sans" w:hAnsi="Liberation Sans"/>
          <w:sz w:val="19"/>
        </w:rPr>
        <w:t>8  Änderungsmatrix</w:t>
      </w:r>
    </w:p>
    <w:p>
      <w:pPr>
        <w:ind w:left="0"/>
      </w:pPr>
      <w:r>
        <w:rPr>
          <w:rFonts w:ascii="Liberation Sans" w:hAnsi="Liberation Sans"/>
          <w:sz w:val="19"/>
        </w:rPr>
        <w:t>9  Literatur- und Quellenbasis</w:t>
      </w:r>
    </w:p>
    <w:p>
      <w:r>
        <w:br w:type="page"/>
      </w:r>
    </w:p>
    <w:p>
      <w:pPr>
        <w:pStyle w:val="Heading1"/>
      </w:pPr>
      <w:r>
        <w:t>1 Kurzbefund</w:t>
      </w:r>
    </w:p>
    <w:p>
      <w:r>
        <w:t>Der wissenschaftlich tragfähige Kern des Gesamtdokuments ist klar identifizierbar: Relativität der Simultanität, lokale Eigenzeit, kausale Erreichbarkeit, operationale Messprotokolle und die Idee einer ereignisbasierten Kausalstruktur bilden eine kohärente Ausgangsbasis. Der zentrale wissenschaftliche Gewinn einer Revision besteht nicht darin, diese Aussagen zu verstärken, sondern ihre epistemischen Rollen sauber zu trennen: etablierte Physik, methodische Definition, Interpretation, Hypothese und offene Forschungsaufgabe.</w:t>
      </w:r>
    </w:p>
    <w:p>
      <w:r>
        <w:t>Die stärkste notwendige Korrektur betrifft Ableitungsbehauptungen. Aus der Relativität der Simultanität und der Operationalität von Messungen folgt weder logisch eine diskrete Ontologie noch eine Planck-skalige Mindestauflösung noch die Emergenz der Allgemeinen Relativität aus einem Ereignisnetz. Diese Elemente sind wissenschaftlich legitime Hypothesen, stehen aber auf einer anderen Begründungsstufe als die verwendeten relativistischen und quantenmechanischen Ausgangstatsachen.</w:t>
      </w:r>
    </w:p>
    <w:p>
      <w:r>
        <w:t>Die zweite Hauptkorrektur betrifft die Nähe zur Causal-Set-Theorie. Ein lokal endliches teilweise geordnetes Ereignisnetz als fundamentale Raumzeitstruktur ist seit Bombelli, Lee, Meyer und Sorkin etabliertes Forschungsprogramm. QIK sollte seine mögliche Eigenständigkeit daher nicht in „Ereignisse + Kausalordnung + Diskretheit“ suchen, sondern in der expliziten Kopplung von Quantität (zähl-/messbare Struktur), Information (operational definierte Unterscheidbarkeit und Statistik) und Kausalität (zulässige Einflussstruktur) sowie in einer präzisen Rekonstruktions- und Prüfarchitektur.</w:t>
      </w:r>
    </w:p>
    <w:p>
      <w:r>
        <w:t>Die dritte Hauptkorrektur ist redaktionell: Der physikalische Kern wird im Original mehrfach als „5 Runden“, „9 Iterationen“, „10 Ebenen“, Vorwärts-/Rückwärtslauf, Erzählung, Executive Summary und Manifest wiederholt. Für eine Fachpublikation sollte daraus eine einzige Argumentationslinie mit klaren Postulaten, Sätzen, Grenzen und offenen Modellpflichten werden. Die religiös-mythologischen Analogien, die gesellschaftliche Polemik zum Superdeterminismus und die dekorativen Bildseiten sind als eigenständige Essay- oder Vermittlungsformate geeigneter als als Bestandteil eines Physikmanuskripts.</w:t>
      </w:r>
    </w:p>
    <w:p>
      <w:pPr>
        <w:pStyle w:val="Heading1"/>
      </w:pPr>
      <w:r>
        <w:t>2 Methodik und Statusklassen</w:t>
      </w:r>
    </w:p>
    <w:p>
      <w:r>
        <w:t>Für jede Aussage wird eine Statusklasse verwendet. Diese Klassifikation verhindert, dass bekannte Resultate unbeabsichtigt als Beweis für eine weitergehende Ontologie fungieren.</w:t>
      </w:r>
    </w:p>
    <w:tbl>
      <w:tblPr>
        <w:tblStyle w:val="TableGrid"/>
        <w:tblW w:type="auto" w:w="0"/>
        <w:jc w:val="center"/>
        <w:tblLook w:firstColumn="1" w:firstRow="1" w:lastColumn="0" w:lastRow="0" w:noHBand="0" w:noVBand="1" w:val="04A0"/>
      </w:tblPr>
      <w:tblGrid>
        <w:gridCol w:w="3099"/>
        <w:gridCol w:w="3099"/>
        <w:gridCol w:w="3099"/>
      </w:tblGrid>
      <w:tr>
        <w:tc>
          <w:tcPr>
            <w:tcW w:type="dxa" w:w="1304"/>
            <w:shd w:fill="D9EAF7"/>
            <w:vAlign w:val="center"/>
            <w:tcMar>
              <w:top w:w="80" w:type="dxa"/>
              <w:start w:w="80" w:type="dxa"/>
              <w:bottom w:w="80" w:type="dxa"/>
              <w:end w:w="80" w:type="dxa"/>
            </w:tcMar>
          </w:tcPr>
          <w:p>
            <w:r>
              <w:rPr>
                <w:rFonts w:ascii="Liberation Sans" w:hAnsi="Liberation Sans"/>
                <w:b/>
                <w:sz w:val="17"/>
              </w:rPr>
              <w:t>Klasse</w:t>
            </w:r>
          </w:p>
        </w:tc>
        <w:tc>
          <w:tcPr>
            <w:tcW w:type="dxa" w:w="2835"/>
            <w:shd w:fill="D9EAF7"/>
            <w:vAlign w:val="center"/>
            <w:tcMar>
              <w:top w:w="80" w:type="dxa"/>
              <w:start w:w="80" w:type="dxa"/>
              <w:bottom w:w="80" w:type="dxa"/>
              <w:end w:w="80" w:type="dxa"/>
            </w:tcMar>
          </w:tcPr>
          <w:p>
            <w:r>
              <w:rPr>
                <w:rFonts w:ascii="Liberation Sans" w:hAnsi="Liberation Sans"/>
                <w:b/>
                <w:sz w:val="17"/>
              </w:rPr>
              <w:t>Bedeutung</w:t>
            </w:r>
          </w:p>
        </w:tc>
        <w:tc>
          <w:tcPr>
            <w:tcW w:type="dxa" w:w="4819"/>
            <w:shd w:fill="D9EAF7"/>
            <w:vAlign w:val="center"/>
            <w:tcMar>
              <w:top w:w="80" w:type="dxa"/>
              <w:start w:w="80" w:type="dxa"/>
              <w:bottom w:w="80" w:type="dxa"/>
              <w:end w:w="80" w:type="dxa"/>
            </w:tcMar>
          </w:tcPr>
          <w:p>
            <w:r>
              <w:rPr>
                <w:rFonts w:ascii="Liberation Sans" w:hAnsi="Liberation Sans"/>
                <w:b/>
                <w:sz w:val="17"/>
              </w:rPr>
              <w:t>Beispiel im revidierten QIK</w:t>
            </w:r>
          </w:p>
        </w:tc>
      </w:tr>
      <w:tr>
        <w:tc>
          <w:tcPr>
            <w:tcW w:type="dxa" w:w="1304"/>
            <w:vAlign w:val="top"/>
            <w:tcMar>
              <w:top w:w="80" w:type="dxa"/>
              <w:start w:w="80" w:type="dxa"/>
              <w:bottom w:w="80" w:type="dxa"/>
              <w:end w:w="80" w:type="dxa"/>
            </w:tcMar>
          </w:tcPr>
          <w:p>
            <w:r>
              <w:rPr>
                <w:rFonts w:ascii="Liberation Serif" w:hAnsi="Liberation Serif"/>
                <w:sz w:val="17"/>
              </w:rPr>
              <w:t>B – Background</w:t>
            </w:r>
          </w:p>
        </w:tc>
        <w:tc>
          <w:tcPr>
            <w:tcW w:type="dxa" w:w="2835"/>
            <w:vAlign w:val="top"/>
            <w:tcMar>
              <w:top w:w="80" w:type="dxa"/>
              <w:start w:w="80" w:type="dxa"/>
              <w:bottom w:w="80" w:type="dxa"/>
              <w:end w:w="80" w:type="dxa"/>
            </w:tcMar>
          </w:tcPr>
          <w:p>
            <w:r>
              <w:rPr>
                <w:rFonts w:ascii="Liberation Serif" w:hAnsi="Liberation Serif"/>
                <w:sz w:val="17"/>
              </w:rPr>
              <w:t>Etablierte oder standardmäßig akzeptierte Fachgrundlage.</w:t>
            </w:r>
          </w:p>
        </w:tc>
        <w:tc>
          <w:tcPr>
            <w:tcW w:type="dxa" w:w="4819"/>
            <w:vAlign w:val="top"/>
            <w:tcMar>
              <w:top w:w="80" w:type="dxa"/>
              <w:start w:w="80" w:type="dxa"/>
              <w:bottom w:w="80" w:type="dxa"/>
              <w:end w:w="80" w:type="dxa"/>
            </w:tcMar>
          </w:tcPr>
          <w:p>
            <w:r>
              <w:rPr>
                <w:rFonts w:ascii="Liberation Serif" w:hAnsi="Liberation Serif"/>
                <w:sz w:val="17"/>
              </w:rPr>
              <w:t>Keine bezugssysteminvariante Simultanität für raumartig getrennte Ereignisse; Eigenzeit ist entlang einer Weltlinie invariant.</w:t>
            </w:r>
          </w:p>
        </w:tc>
      </w:tr>
      <w:tr>
        <w:tc>
          <w:tcPr>
            <w:tcW w:type="dxa" w:w="1304"/>
            <w:vAlign w:val="top"/>
            <w:tcMar>
              <w:top w:w="80" w:type="dxa"/>
              <w:start w:w="80" w:type="dxa"/>
              <w:bottom w:w="80" w:type="dxa"/>
              <w:end w:w="80" w:type="dxa"/>
            </w:tcMar>
          </w:tcPr>
          <w:p>
            <w:r>
              <w:rPr>
                <w:rFonts w:ascii="Liberation Serif" w:hAnsi="Liberation Serif"/>
                <w:sz w:val="17"/>
              </w:rPr>
              <w:t>D – Definition</w:t>
            </w:r>
          </w:p>
        </w:tc>
        <w:tc>
          <w:tcPr>
            <w:tcW w:type="dxa" w:w="2835"/>
            <w:vAlign w:val="top"/>
            <w:tcMar>
              <w:top w:w="80" w:type="dxa"/>
              <w:start w:w="80" w:type="dxa"/>
              <w:bottom w:w="80" w:type="dxa"/>
              <w:end w:w="80" w:type="dxa"/>
            </w:tcMar>
          </w:tcPr>
          <w:p>
            <w:r>
              <w:rPr>
                <w:rFonts w:ascii="Liberation Serif" w:hAnsi="Liberation Serif"/>
                <w:sz w:val="17"/>
              </w:rPr>
              <w:t>Vom Rahmen gesetzte Begriffsbestimmung; nicht empirisch „bewiesen“.</w:t>
            </w:r>
          </w:p>
        </w:tc>
        <w:tc>
          <w:tcPr>
            <w:tcW w:type="dxa" w:w="4819"/>
            <w:vAlign w:val="top"/>
            <w:tcMar>
              <w:top w:w="80" w:type="dxa"/>
              <w:start w:w="80" w:type="dxa"/>
              <w:bottom w:w="80" w:type="dxa"/>
              <w:end w:w="80" w:type="dxa"/>
            </w:tcMar>
          </w:tcPr>
          <w:p>
            <w:r>
              <w:rPr>
                <w:rFonts w:ascii="Liberation Serif" w:hAnsi="Liberation Serif"/>
                <w:sz w:val="17"/>
              </w:rPr>
              <w:t>QIK-Information als operationale Unterscheidbarkeit von Ergebnisstatistiken.</w:t>
            </w:r>
          </w:p>
        </w:tc>
      </w:tr>
      <w:tr>
        <w:tc>
          <w:tcPr>
            <w:tcW w:type="dxa" w:w="1304"/>
            <w:vAlign w:val="top"/>
            <w:tcMar>
              <w:top w:w="80" w:type="dxa"/>
              <w:start w:w="80" w:type="dxa"/>
              <w:bottom w:w="80" w:type="dxa"/>
              <w:end w:w="80" w:type="dxa"/>
            </w:tcMar>
          </w:tcPr>
          <w:p>
            <w:r>
              <w:rPr>
                <w:rFonts w:ascii="Liberation Serif" w:hAnsi="Liberation Serif"/>
                <w:sz w:val="17"/>
              </w:rPr>
              <w:t>I – Interpretation</w:t>
            </w:r>
          </w:p>
        </w:tc>
        <w:tc>
          <w:tcPr>
            <w:tcW w:type="dxa" w:w="2835"/>
            <w:vAlign w:val="top"/>
            <w:tcMar>
              <w:top w:w="80" w:type="dxa"/>
              <w:start w:w="80" w:type="dxa"/>
              <w:bottom w:w="80" w:type="dxa"/>
              <w:end w:w="80" w:type="dxa"/>
            </w:tcMar>
          </w:tcPr>
          <w:p>
            <w:r>
              <w:rPr>
                <w:rFonts w:ascii="Liberation Serif" w:hAnsi="Liberation Serif"/>
                <w:sz w:val="17"/>
              </w:rPr>
              <w:t>Mit etablierter Theorie kompatible Lesart, aber nicht durch sie eindeutig erzwungen.</w:t>
            </w:r>
          </w:p>
        </w:tc>
        <w:tc>
          <w:tcPr>
            <w:tcW w:type="dxa" w:w="4819"/>
            <w:vAlign w:val="top"/>
            <w:tcMar>
              <w:top w:w="80" w:type="dxa"/>
              <w:start w:w="80" w:type="dxa"/>
              <w:bottom w:w="80" w:type="dxa"/>
              <w:end w:w="80" w:type="dxa"/>
            </w:tcMar>
          </w:tcPr>
          <w:p>
            <w:r>
              <w:rPr>
                <w:rFonts w:ascii="Liberation Serif" w:hAnsi="Liberation Serif"/>
                <w:sz w:val="17"/>
              </w:rPr>
              <w:t>„Welle“ als Amplituden-/Möglichkeitsstruktur und „Teilchen“ als diskrete Aufzeichnung.</w:t>
            </w:r>
          </w:p>
        </w:tc>
      </w:tr>
      <w:tr>
        <w:tc>
          <w:tcPr>
            <w:tcW w:type="dxa" w:w="1304"/>
            <w:vAlign w:val="top"/>
            <w:tcMar>
              <w:top w:w="80" w:type="dxa"/>
              <w:start w:w="80" w:type="dxa"/>
              <w:bottom w:w="80" w:type="dxa"/>
              <w:end w:w="80" w:type="dxa"/>
            </w:tcMar>
          </w:tcPr>
          <w:p>
            <w:r>
              <w:rPr>
                <w:rFonts w:ascii="Liberation Serif" w:hAnsi="Liberation Serif"/>
                <w:sz w:val="17"/>
              </w:rPr>
              <w:t>H – Hypothese</w:t>
            </w:r>
          </w:p>
        </w:tc>
        <w:tc>
          <w:tcPr>
            <w:tcW w:type="dxa" w:w="2835"/>
            <w:vAlign w:val="top"/>
            <w:tcMar>
              <w:top w:w="80" w:type="dxa"/>
              <w:start w:w="80" w:type="dxa"/>
              <w:bottom w:w="80" w:type="dxa"/>
              <w:end w:w="80" w:type="dxa"/>
            </w:tcMar>
          </w:tcPr>
          <w:p>
            <w:r>
              <w:rPr>
                <w:rFonts w:ascii="Liberation Serif" w:hAnsi="Liberation Serif"/>
                <w:sz w:val="17"/>
              </w:rPr>
              <w:t>Zusätzliche physikalische Annahme, die eigener Begründung und Tests bedarf.</w:t>
            </w:r>
          </w:p>
        </w:tc>
        <w:tc>
          <w:tcPr>
            <w:tcW w:type="dxa" w:w="4819"/>
            <w:vAlign w:val="top"/>
            <w:tcMar>
              <w:top w:w="80" w:type="dxa"/>
              <w:start w:w="80" w:type="dxa"/>
              <w:bottom w:w="80" w:type="dxa"/>
              <w:end w:w="80" w:type="dxa"/>
            </w:tcMar>
          </w:tcPr>
          <w:p>
            <w:r>
              <w:rPr>
                <w:rFonts w:ascii="Liberation Serif" w:hAnsi="Liberation Serif"/>
                <w:sz w:val="17"/>
              </w:rPr>
              <w:t>Fundamentale lokale Endlichkeit; Raumzeitgeometrie als emergente Rekonstruktion.</w:t>
            </w:r>
          </w:p>
        </w:tc>
      </w:tr>
      <w:tr>
        <w:tc>
          <w:tcPr>
            <w:tcW w:type="dxa" w:w="1304"/>
            <w:vAlign w:val="top"/>
            <w:tcMar>
              <w:top w:w="80" w:type="dxa"/>
              <w:start w:w="80" w:type="dxa"/>
              <w:bottom w:w="80" w:type="dxa"/>
              <w:end w:w="80" w:type="dxa"/>
            </w:tcMar>
          </w:tcPr>
          <w:p>
            <w:r>
              <w:rPr>
                <w:rFonts w:ascii="Liberation Serif" w:hAnsi="Liberation Serif"/>
                <w:sz w:val="17"/>
              </w:rPr>
              <w:t>R – Requirement</w:t>
            </w:r>
          </w:p>
        </w:tc>
        <w:tc>
          <w:tcPr>
            <w:tcW w:type="dxa" w:w="2835"/>
            <w:vAlign w:val="top"/>
            <w:tcMar>
              <w:top w:w="80" w:type="dxa"/>
              <w:start w:w="80" w:type="dxa"/>
              <w:bottom w:w="80" w:type="dxa"/>
              <w:end w:w="80" w:type="dxa"/>
            </w:tcMar>
          </w:tcPr>
          <w:p>
            <w:r>
              <w:rPr>
                <w:rFonts w:ascii="Liberation Serif" w:hAnsi="Liberation Serif"/>
                <w:sz w:val="17"/>
              </w:rPr>
              <w:t>Prüfpflicht, die ein vollständiges Modell erfüllen muss.</w:t>
            </w:r>
          </w:p>
        </w:tc>
        <w:tc>
          <w:tcPr>
            <w:tcW w:type="dxa" w:w="4819"/>
            <w:vAlign w:val="top"/>
            <w:tcMar>
              <w:top w:w="80" w:type="dxa"/>
              <w:start w:w="80" w:type="dxa"/>
              <w:bottom w:w="80" w:type="dxa"/>
              <w:end w:w="80" w:type="dxa"/>
            </w:tcMar>
          </w:tcPr>
          <w:p>
            <w:r>
              <w:rPr>
                <w:rFonts w:ascii="Liberation Serif" w:hAnsi="Liberation Serif"/>
                <w:sz w:val="17"/>
              </w:rPr>
              <w:t>Born-Regel, Bell-Korrelationen, No-Signalling, Lorentz-Verhalten und GR-Grenzfall reproduzieren.</w:t>
            </w:r>
          </w:p>
        </w:tc>
      </w:tr>
    </w:tbl>
    <w:p>
      <w:pPr>
        <w:pStyle w:val="Heading1"/>
      </w:pPr>
      <w:r>
        <w:t>3 Logische Konsistenzprüfung</w:t>
      </w:r>
    </w:p>
    <w:p>
      <w:pPr>
        <w:pStyle w:val="Heading2"/>
      </w:pPr>
      <w:r>
        <w:t>3.1 Was aus den relativistischen Prämissen tatsächlich folgt</w:t>
      </w:r>
    </w:p>
    <w:p>
      <w:pPr>
        <w:pStyle w:val="ListBullet"/>
        <w:ind w:left="397" w:hanging="142"/>
      </w:pPr>
      <w:r>
        <w:t>Aus der Relativität der Simultanität folgt: Ein globales, beobachterunabhängiges „Jetzt“ ist in der Speziellen Relativitätstheorie nicht verfügbar.</w:t>
      </w:r>
    </w:p>
    <w:p>
      <w:pPr>
        <w:pStyle w:val="ListBullet"/>
        <w:ind w:left="397" w:hanging="142"/>
      </w:pPr>
      <w:r>
        <w:t>Aus der Invarianz der Eigenzeit und der kausalen Struktur folgt: Eine beobachterübergreifende Formulierung kann bevorzugt mit kovarianten bzw. invarianten Strukturen arbeiten.</w:t>
      </w:r>
    </w:p>
    <w:p>
      <w:pPr>
        <w:pStyle w:val="ListBullet"/>
        <w:ind w:left="397" w:hanging="142"/>
      </w:pPr>
      <w:r>
        <w:t>Nicht daraus folgt: dass die ontologisch fundamentale Struktur zwingend diskret oder eine lokal endliche partielle Ordnung sein muss.</w:t>
      </w:r>
    </w:p>
    <w:p>
      <w:pPr>
        <w:pStyle w:val="ListBullet"/>
        <w:ind w:left="397" w:hanging="142"/>
      </w:pPr>
      <w:r>
        <w:t>Nicht daraus folgt: dass Raumzeit ausschließlich aus Ereignissen „besteht“. Dies ist eine ontologische Zusatzhypothese bzw. ein Forschungsprogramm.</w:t>
      </w:r>
    </w:p>
    <w:p>
      <w:pPr>
        <w:pStyle w:val="Heading2"/>
      </w:pPr>
      <w:r>
        <w:t>3.2 A1–A5 des Originals: Revisionsstatus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701"/>
            <w:shd w:fill="D9EAF7"/>
            <w:vAlign w:val="center"/>
            <w:tcMar>
              <w:top w:w="80" w:type="dxa"/>
              <w:start w:w="80" w:type="dxa"/>
              <w:bottom w:w="80" w:type="dxa"/>
              <w:end w:w="80" w:type="dxa"/>
            </w:tcMar>
          </w:tcPr>
          <w:p>
            <w:r>
              <w:rPr>
                <w:rFonts w:ascii="Liberation Sans" w:hAnsi="Liberation Sans"/>
                <w:b/>
                <w:sz w:val="15"/>
              </w:rPr>
              <w:t>Element</w:t>
            </w:r>
          </w:p>
        </w:tc>
        <w:tc>
          <w:tcPr>
            <w:tcW w:type="dxa" w:w="850"/>
            <w:shd w:fill="D9EAF7"/>
            <w:vAlign w:val="center"/>
            <w:tcMar>
              <w:top w:w="80" w:type="dxa"/>
              <w:start w:w="80" w:type="dxa"/>
              <w:bottom w:w="80" w:type="dxa"/>
              <w:end w:w="80" w:type="dxa"/>
            </w:tcMar>
          </w:tcPr>
          <w:p>
            <w:r>
              <w:rPr>
                <w:rFonts w:ascii="Liberation Sans" w:hAnsi="Liberation Sans"/>
                <w:b/>
                <w:sz w:val="15"/>
              </w:rPr>
              <w:t>Status</w:t>
            </w:r>
          </w:p>
        </w:tc>
        <w:tc>
          <w:tcPr>
            <w:tcW w:type="dxa" w:w="3515"/>
            <w:shd w:fill="D9EAF7"/>
            <w:vAlign w:val="center"/>
            <w:tcMar>
              <w:top w:w="80" w:type="dxa"/>
              <w:start w:w="80" w:type="dxa"/>
              <w:bottom w:w="80" w:type="dxa"/>
              <w:end w:w="80" w:type="dxa"/>
            </w:tcMar>
          </w:tcPr>
          <w:p>
            <w:r>
              <w:rPr>
                <w:rFonts w:ascii="Liberation Sans" w:hAnsi="Liberation Sans"/>
                <w:b/>
                <w:sz w:val="15"/>
              </w:rPr>
              <w:t>Befund</w:t>
            </w:r>
          </w:p>
        </w:tc>
        <w:tc>
          <w:tcPr>
            <w:tcW w:type="dxa" w:w="2891"/>
            <w:shd w:fill="D9EAF7"/>
            <w:vAlign w:val="center"/>
            <w:tcMar>
              <w:top w:w="80" w:type="dxa"/>
              <w:start w:w="80" w:type="dxa"/>
              <w:bottom w:w="80" w:type="dxa"/>
              <w:end w:w="80" w:type="dxa"/>
            </w:tcMar>
          </w:tcPr>
          <w:p>
            <w:r>
              <w:rPr>
                <w:rFonts w:ascii="Liberation Sans" w:hAnsi="Liberation Sans"/>
                <w:b/>
                <w:sz w:val="15"/>
              </w:rPr>
              <w:t>Revidierte Form</w:t>
            </w:r>
          </w:p>
        </w:tc>
      </w:tr>
      <w:tr>
        <w:tc>
          <w:tcPr>
            <w:tcW w:type="dxa" w:w="1701"/>
            <w:vAlign w:val="top"/>
            <w:tcMar>
              <w:top w:w="80" w:type="dxa"/>
              <w:start w:w="80" w:type="dxa"/>
              <w:bottom w:w="80" w:type="dxa"/>
              <w:end w:w="80" w:type="dxa"/>
            </w:tcMar>
          </w:tcPr>
          <w:p>
            <w:r>
              <w:rPr>
                <w:rFonts w:ascii="Liberation Serif" w:hAnsi="Liberation Serif"/>
                <w:sz w:val="15"/>
              </w:rPr>
              <w:t>A1 Relativistische Struktur</w:t>
            </w:r>
          </w:p>
        </w:tc>
        <w:tc>
          <w:tcPr>
            <w:tcW w:type="dxa" w:w="850"/>
            <w:vAlign w:val="top"/>
            <w:tcMar>
              <w:top w:w="80" w:type="dxa"/>
              <w:start w:w="80" w:type="dxa"/>
              <w:bottom w:w="80" w:type="dxa"/>
              <w:end w:w="80" w:type="dxa"/>
            </w:tcMar>
          </w:tcPr>
          <w:p>
            <w:r>
              <w:rPr>
                <w:rFonts w:ascii="Liberation Serif" w:hAnsi="Liberation Serif"/>
                <w:sz w:val="15"/>
              </w:rPr>
              <w:t>B</w:t>
            </w:r>
          </w:p>
        </w:tc>
        <w:tc>
          <w:tcPr>
            <w:tcW w:type="dxa" w:w="3515"/>
            <w:vAlign w:val="top"/>
            <w:tcMar>
              <w:top w:w="80" w:type="dxa"/>
              <w:start w:w="80" w:type="dxa"/>
              <w:bottom w:w="80" w:type="dxa"/>
              <w:end w:w="80" w:type="dxa"/>
            </w:tcMar>
          </w:tcPr>
          <w:p>
            <w:r>
              <w:rPr>
                <w:rFonts w:ascii="Liberation Serif" w:hAnsi="Liberation Serif"/>
                <w:sz w:val="15"/>
              </w:rPr>
              <w:t>Im Kern korrekt. Präzisieren: betrifft raumartig getrennte Ereignisse und Synchronisations-/Foliationsabhängigkeit.</w:t>
            </w:r>
          </w:p>
        </w:tc>
        <w:tc>
          <w:tcPr>
            <w:tcW w:type="dxa" w:w="2891"/>
            <w:vAlign w:val="top"/>
            <w:tcMar>
              <w:top w:w="80" w:type="dxa"/>
              <w:start w:w="80" w:type="dxa"/>
              <w:bottom w:w="80" w:type="dxa"/>
              <w:end w:w="80" w:type="dxa"/>
            </w:tcMar>
          </w:tcPr>
          <w:p>
            <w:r>
              <w:rPr>
                <w:rFonts w:ascii="Liberation Serif" w:hAnsi="Liberation Serif"/>
                <w:sz w:val="15"/>
              </w:rPr>
              <w:t>Als Hintergrundresultat B1 beibehalten.</w:t>
            </w:r>
          </w:p>
        </w:tc>
      </w:tr>
      <w:tr>
        <w:tc>
          <w:tcPr>
            <w:tcW w:type="dxa" w:w="1701"/>
            <w:vAlign w:val="top"/>
            <w:tcMar>
              <w:top w:w="80" w:type="dxa"/>
              <w:start w:w="80" w:type="dxa"/>
              <w:bottom w:w="80" w:type="dxa"/>
              <w:end w:w="80" w:type="dxa"/>
            </w:tcMar>
          </w:tcPr>
          <w:p>
            <w:r>
              <w:rPr>
                <w:rFonts w:ascii="Liberation Serif" w:hAnsi="Liberation Serif"/>
                <w:sz w:val="15"/>
              </w:rPr>
              <w:t>A2 „Objektivität = Invarianz“</w:t>
            </w:r>
          </w:p>
        </w:tc>
        <w:tc>
          <w:tcPr>
            <w:tcW w:type="dxa" w:w="850"/>
            <w:vAlign w:val="top"/>
            <w:tcMar>
              <w:top w:w="80" w:type="dxa"/>
              <w:start w:w="80" w:type="dxa"/>
              <w:bottom w:w="80" w:type="dxa"/>
              <w:end w:w="80" w:type="dxa"/>
            </w:tcMar>
          </w:tcPr>
          <w:p>
            <w:r>
              <w:rPr>
                <w:rFonts w:ascii="Liberation Serif" w:hAnsi="Liberation Serif"/>
                <w:sz w:val="15"/>
              </w:rPr>
              <w:t>D/B</w:t>
            </w:r>
          </w:p>
        </w:tc>
        <w:tc>
          <w:tcPr>
            <w:tcW w:type="dxa" w:w="3515"/>
            <w:vAlign w:val="top"/>
            <w:tcMar>
              <w:top w:w="80" w:type="dxa"/>
              <w:start w:w="80" w:type="dxa"/>
              <w:bottom w:w="80" w:type="dxa"/>
              <w:end w:w="80" w:type="dxa"/>
            </w:tcMar>
          </w:tcPr>
          <w:p>
            <w:r>
              <w:rPr>
                <w:rFonts w:ascii="Liberation Serif" w:hAnsi="Liberation Serif"/>
                <w:sz w:val="15"/>
              </w:rPr>
              <w:t>Als methodische Definition brauchbar, als allgemeine Identität zu stark. Physik verlangt kovariante, beobachterunabhängig auswertbare Aussagen; nicht jede „objektive“ Größe ist ein skalarer Invariant.</w:t>
            </w:r>
          </w:p>
        </w:tc>
        <w:tc>
          <w:tcPr>
            <w:tcW w:type="dxa" w:w="2891"/>
            <w:vAlign w:val="top"/>
            <w:tcMar>
              <w:top w:w="80" w:type="dxa"/>
              <w:start w:w="80" w:type="dxa"/>
              <w:bottom w:w="80" w:type="dxa"/>
              <w:end w:w="80" w:type="dxa"/>
            </w:tcMar>
          </w:tcPr>
          <w:p>
            <w:r>
              <w:rPr>
                <w:rFonts w:ascii="Liberation Serif" w:hAnsi="Liberation Serif"/>
                <w:sz w:val="15"/>
              </w:rPr>
              <w:t>„Objektivität wird operational über kovariant definierte Relationen und beobachterunabhängige Vorhersagen gesichert.“</w:t>
            </w:r>
          </w:p>
        </w:tc>
      </w:tr>
      <w:tr>
        <w:tc>
          <w:tcPr>
            <w:tcW w:type="dxa" w:w="1701"/>
            <w:vAlign w:val="top"/>
            <w:tcMar>
              <w:top w:w="80" w:type="dxa"/>
              <w:start w:w="80" w:type="dxa"/>
              <w:bottom w:w="80" w:type="dxa"/>
              <w:end w:w="80" w:type="dxa"/>
            </w:tcMar>
          </w:tcPr>
          <w:p>
            <w:r>
              <w:rPr>
                <w:rFonts w:ascii="Liberation Serif" w:hAnsi="Liberation Serif"/>
                <w:sz w:val="15"/>
              </w:rPr>
              <w:t>A3 Primat der Kausalordnung</w:t>
            </w:r>
          </w:p>
        </w:tc>
        <w:tc>
          <w:tcPr>
            <w:tcW w:type="dxa" w:w="850"/>
            <w:vAlign w:val="top"/>
            <w:tcMar>
              <w:top w:w="80" w:type="dxa"/>
              <w:start w:w="80" w:type="dxa"/>
              <w:bottom w:w="80" w:type="dxa"/>
              <w:end w:w="80" w:type="dxa"/>
            </w:tcMar>
          </w:tcPr>
          <w:p>
            <w:r>
              <w:rPr>
                <w:rFonts w:ascii="Liberation Serif" w:hAnsi="Liberation Serif"/>
                <w:sz w:val="15"/>
              </w:rPr>
              <w:t>H</w:t>
            </w:r>
          </w:p>
        </w:tc>
        <w:tc>
          <w:tcPr>
            <w:tcW w:type="dxa" w:w="3515"/>
            <w:vAlign w:val="top"/>
            <w:tcMar>
              <w:top w:w="80" w:type="dxa"/>
              <w:start w:w="80" w:type="dxa"/>
              <w:bottom w:w="80" w:type="dxa"/>
              <w:end w:w="80" w:type="dxa"/>
            </w:tcMar>
          </w:tcPr>
          <w:p>
            <w:r>
              <w:rPr>
                <w:rFonts w:ascii="Liberation Serif" w:hAnsi="Liberation Serif"/>
                <w:sz w:val="15"/>
              </w:rPr>
              <w:t>Kein Schluss aus A1/A2; entspricht in wesentlichen Teilen der Kinematik der Causal-Set-Theorie.</w:t>
            </w:r>
          </w:p>
        </w:tc>
        <w:tc>
          <w:tcPr>
            <w:tcW w:type="dxa" w:w="2891"/>
            <w:vAlign w:val="top"/>
            <w:tcMar>
              <w:top w:w="80" w:type="dxa"/>
              <w:start w:w="80" w:type="dxa"/>
              <w:bottom w:w="80" w:type="dxa"/>
              <w:end w:w="80" w:type="dxa"/>
            </w:tcMar>
          </w:tcPr>
          <w:p>
            <w:r>
              <w:rPr>
                <w:rFonts w:ascii="Liberation Serif" w:hAnsi="Liberation Serif"/>
                <w:sz w:val="15"/>
              </w:rPr>
              <w:t>Als QIK-Hypothese H1 ausweisen.</w:t>
            </w:r>
          </w:p>
        </w:tc>
      </w:tr>
      <w:tr>
        <w:tc>
          <w:tcPr>
            <w:tcW w:type="dxa" w:w="1701"/>
            <w:vAlign w:val="top"/>
            <w:tcMar>
              <w:top w:w="80" w:type="dxa"/>
              <w:start w:w="80" w:type="dxa"/>
              <w:bottom w:w="80" w:type="dxa"/>
              <w:end w:w="80" w:type="dxa"/>
            </w:tcMar>
          </w:tcPr>
          <w:p>
            <w:r>
              <w:rPr>
                <w:rFonts w:ascii="Liberation Serif" w:hAnsi="Liberation Serif"/>
                <w:sz w:val="15"/>
              </w:rPr>
              <w:t>A4 Operationalität</w:t>
            </w:r>
          </w:p>
        </w:tc>
        <w:tc>
          <w:tcPr>
            <w:tcW w:type="dxa" w:w="850"/>
            <w:vAlign w:val="top"/>
            <w:tcMar>
              <w:top w:w="80" w:type="dxa"/>
              <w:start w:w="80" w:type="dxa"/>
              <w:bottom w:w="80" w:type="dxa"/>
              <w:end w:w="80" w:type="dxa"/>
            </w:tcMar>
          </w:tcPr>
          <w:p>
            <w:r>
              <w:rPr>
                <w:rFonts w:ascii="Liberation Serif" w:hAnsi="Liberation Serif"/>
                <w:sz w:val="15"/>
              </w:rPr>
              <w:t>D/I</w:t>
            </w:r>
          </w:p>
        </w:tc>
        <w:tc>
          <w:tcPr>
            <w:tcW w:type="dxa" w:w="3515"/>
            <w:vAlign w:val="top"/>
            <w:tcMar>
              <w:top w:w="80" w:type="dxa"/>
              <w:start w:w="80" w:type="dxa"/>
              <w:bottom w:w="80" w:type="dxa"/>
              <w:end w:w="80" w:type="dxa"/>
            </w:tcMar>
          </w:tcPr>
          <w:p>
            <w:r>
              <w:rPr>
                <w:rFonts w:ascii="Liberation Serif" w:hAnsi="Liberation Serif"/>
                <w:sz w:val="15"/>
              </w:rPr>
              <w:t>Messungen enden in endlichen Records; daraus folgt aber nicht, dass nur Zählbares fundamental ist.</w:t>
            </w:r>
          </w:p>
        </w:tc>
        <w:tc>
          <w:tcPr>
            <w:tcW w:type="dxa" w:w="2891"/>
            <w:vAlign w:val="top"/>
            <w:tcMar>
              <w:top w:w="80" w:type="dxa"/>
              <w:start w:w="80" w:type="dxa"/>
              <w:bottom w:w="80" w:type="dxa"/>
              <w:end w:w="80" w:type="dxa"/>
            </w:tcMar>
          </w:tcPr>
          <w:p>
            <w:r>
              <w:rPr>
                <w:rFonts w:ascii="Liberation Serif" w:hAnsi="Liberation Serif"/>
                <w:sz w:val="15"/>
              </w:rPr>
              <w:t>Record-Prinzip als methodische Operationalisierung, nicht als Ontologiebeweis.</w:t>
            </w:r>
          </w:p>
        </w:tc>
      </w:tr>
      <w:tr>
        <w:tc>
          <w:tcPr>
            <w:tcW w:type="dxa" w:w="1701"/>
            <w:vAlign w:val="top"/>
            <w:tcMar>
              <w:top w:w="80" w:type="dxa"/>
              <w:start w:w="80" w:type="dxa"/>
              <w:bottom w:w="80" w:type="dxa"/>
              <w:end w:w="80" w:type="dxa"/>
            </w:tcMar>
          </w:tcPr>
          <w:p>
            <w:r>
              <w:rPr>
                <w:rFonts w:ascii="Liberation Serif" w:hAnsi="Liberation Serif"/>
                <w:sz w:val="15"/>
              </w:rPr>
              <w:t>A5 Planck-Grenzmaß</w:t>
            </w:r>
          </w:p>
        </w:tc>
        <w:tc>
          <w:tcPr>
            <w:tcW w:type="dxa" w:w="850"/>
            <w:vAlign w:val="top"/>
            <w:tcMar>
              <w:top w:w="80" w:type="dxa"/>
              <w:start w:w="80" w:type="dxa"/>
              <w:bottom w:w="80" w:type="dxa"/>
              <w:end w:w="80" w:type="dxa"/>
            </w:tcMar>
          </w:tcPr>
          <w:p>
            <w:r>
              <w:rPr>
                <w:rFonts w:ascii="Liberation Serif" w:hAnsi="Liberation Serif"/>
                <w:sz w:val="15"/>
              </w:rPr>
              <w:t>H</w:t>
            </w:r>
          </w:p>
        </w:tc>
        <w:tc>
          <w:tcPr>
            <w:tcW w:type="dxa" w:w="3515"/>
            <w:vAlign w:val="top"/>
            <w:tcMar>
              <w:top w:w="80" w:type="dxa"/>
              <w:start w:w="80" w:type="dxa"/>
              <w:bottom w:w="80" w:type="dxa"/>
              <w:end w:w="80" w:type="dxa"/>
            </w:tcMar>
          </w:tcPr>
          <w:p>
            <w:r>
              <w:rPr>
                <w:rFonts w:ascii="Liberation Serif" w:hAnsi="Liberation Serif"/>
                <w:sz w:val="15"/>
              </w:rPr>
              <w:t>Planck-Skala ist natürlicher Quantengravitationsmaßstab; eine exakt minimale Länge/Zeit ist nicht empirisch etabliert.</w:t>
            </w:r>
          </w:p>
        </w:tc>
        <w:tc>
          <w:tcPr>
            <w:tcW w:type="dxa" w:w="2891"/>
            <w:vAlign w:val="top"/>
            <w:tcMar>
              <w:top w:w="80" w:type="dxa"/>
              <w:start w:w="80" w:type="dxa"/>
              <w:bottom w:w="80" w:type="dxa"/>
              <w:end w:w="80" w:type="dxa"/>
            </w:tcMar>
          </w:tcPr>
          <w:p>
            <w:r>
              <w:rPr>
                <w:rFonts w:ascii="Liberation Serif" w:hAnsi="Liberation Serif"/>
                <w:sz w:val="15"/>
              </w:rPr>
              <w:t>Als H2: Erwartung eines Regimewechsels/Operationalitätsproblems nahe Planck-Skalen, ohne harte Mindestlänge zu postulieren.</w:t>
            </w:r>
          </w:p>
        </w:tc>
      </w:tr>
      <w:tr>
        <w:tc>
          <w:tcPr>
            <w:tcW w:type="dxa" w:w="1701"/>
            <w:vAlign w:val="top"/>
            <w:tcMar>
              <w:top w:w="80" w:type="dxa"/>
              <w:start w:w="80" w:type="dxa"/>
              <w:bottom w:w="80" w:type="dxa"/>
              <w:end w:w="80" w:type="dxa"/>
            </w:tcMar>
          </w:tcPr>
          <w:p>
            <w:r>
              <w:rPr>
                <w:rFonts w:ascii="Liberation Serif" w:hAnsi="Liberation Serif"/>
                <w:sz w:val="15"/>
              </w:rPr>
              <w:t>S2 Kontinuum = Grenzbeschreibung</w:t>
            </w:r>
          </w:p>
        </w:tc>
        <w:tc>
          <w:tcPr>
            <w:tcW w:type="dxa" w:w="850"/>
            <w:vAlign w:val="top"/>
            <w:tcMar>
              <w:top w:w="80" w:type="dxa"/>
              <w:start w:w="80" w:type="dxa"/>
              <w:bottom w:w="80" w:type="dxa"/>
              <w:end w:w="80" w:type="dxa"/>
            </w:tcMar>
          </w:tcPr>
          <w:p>
            <w:r>
              <w:rPr>
                <w:rFonts w:ascii="Liberation Serif" w:hAnsi="Liberation Serif"/>
                <w:sz w:val="15"/>
              </w:rPr>
              <w:t>H</w:t>
            </w:r>
          </w:p>
        </w:tc>
        <w:tc>
          <w:tcPr>
            <w:tcW w:type="dxa" w:w="3515"/>
            <w:vAlign w:val="top"/>
            <w:tcMar>
              <w:top w:w="80" w:type="dxa"/>
              <w:start w:w="80" w:type="dxa"/>
              <w:bottom w:w="80" w:type="dxa"/>
              <w:end w:w="80" w:type="dxa"/>
            </w:tcMar>
          </w:tcPr>
          <w:p>
            <w:r>
              <w:rPr>
                <w:rFonts w:ascii="Liberation Serif" w:hAnsi="Liberation Serif"/>
                <w:sz w:val="15"/>
              </w:rPr>
              <w:t>Plausible Forschungsoption, nicht aus A4/A5 ableitbar.</w:t>
            </w:r>
          </w:p>
        </w:tc>
        <w:tc>
          <w:tcPr>
            <w:tcW w:type="dxa" w:w="2891"/>
            <w:vAlign w:val="top"/>
            <w:tcMar>
              <w:top w:w="80" w:type="dxa"/>
              <w:start w:w="80" w:type="dxa"/>
              <w:bottom w:w="80" w:type="dxa"/>
              <w:end w:w="80" w:type="dxa"/>
            </w:tcMar>
          </w:tcPr>
          <w:p>
            <w:r>
              <w:rPr>
                <w:rFonts w:ascii="Liberation Serif" w:hAnsi="Liberation Serif"/>
                <w:sz w:val="15"/>
              </w:rPr>
              <w:t>Als Emergenzhypothese H3 formulieren.</w:t>
            </w:r>
          </w:p>
        </w:tc>
      </w:tr>
      <w:tr>
        <w:tc>
          <w:tcPr>
            <w:tcW w:type="dxa" w:w="1701"/>
            <w:vAlign w:val="top"/>
            <w:tcMar>
              <w:top w:w="80" w:type="dxa"/>
              <w:start w:w="80" w:type="dxa"/>
              <w:bottom w:w="80" w:type="dxa"/>
              <w:end w:w="80" w:type="dxa"/>
            </w:tcMar>
          </w:tcPr>
          <w:p>
            <w:r>
              <w:rPr>
                <w:rFonts w:ascii="Liberation Serif" w:hAnsi="Liberation Serif"/>
                <w:sz w:val="15"/>
              </w:rPr>
              <w:t>S3 Welle/Teilchen = Vorhersage/Aufzeichnung</w:t>
            </w:r>
          </w:p>
        </w:tc>
        <w:tc>
          <w:tcPr>
            <w:tcW w:type="dxa" w:w="850"/>
            <w:vAlign w:val="top"/>
            <w:tcMar>
              <w:top w:w="80" w:type="dxa"/>
              <w:start w:w="80" w:type="dxa"/>
              <w:bottom w:w="80" w:type="dxa"/>
              <w:end w:w="80" w:type="dxa"/>
            </w:tcMar>
          </w:tcPr>
          <w:p>
            <w:r>
              <w:rPr>
                <w:rFonts w:ascii="Liberation Serif" w:hAnsi="Liberation Serif"/>
                <w:sz w:val="15"/>
              </w:rPr>
              <w:t>I</w:t>
            </w:r>
          </w:p>
        </w:tc>
        <w:tc>
          <w:tcPr>
            <w:tcW w:type="dxa" w:w="3515"/>
            <w:vAlign w:val="top"/>
            <w:tcMar>
              <w:top w:w="80" w:type="dxa"/>
              <w:start w:w="80" w:type="dxa"/>
              <w:bottom w:w="80" w:type="dxa"/>
              <w:end w:w="80" w:type="dxa"/>
            </w:tcMar>
          </w:tcPr>
          <w:p>
            <w:r>
              <w:rPr>
                <w:rFonts w:ascii="Liberation Serif" w:hAnsi="Liberation Serif"/>
                <w:sz w:val="15"/>
              </w:rPr>
              <w:t>Nützliche operationale Lesart; nicht die einzige Interpretation der Quantenmechanik.</w:t>
            </w:r>
          </w:p>
        </w:tc>
        <w:tc>
          <w:tcPr>
            <w:tcW w:type="dxa" w:w="2891"/>
            <w:vAlign w:val="top"/>
            <w:tcMar>
              <w:top w:w="80" w:type="dxa"/>
              <w:start w:w="80" w:type="dxa"/>
              <w:bottom w:w="80" w:type="dxa"/>
              <w:end w:w="80" w:type="dxa"/>
            </w:tcMar>
          </w:tcPr>
          <w:p>
            <w:r>
              <w:rPr>
                <w:rFonts w:ascii="Liberation Serif" w:hAnsi="Liberation Serif"/>
                <w:sz w:val="15"/>
              </w:rPr>
              <w:t>Als Interpretation I1 kennzeichnen.</w:t>
            </w:r>
          </w:p>
        </w:tc>
      </w:tr>
      <w:tr>
        <w:tc>
          <w:tcPr>
            <w:tcW w:type="dxa" w:w="1701"/>
            <w:vAlign w:val="top"/>
            <w:tcMar>
              <w:top w:w="80" w:type="dxa"/>
              <w:start w:w="80" w:type="dxa"/>
              <w:bottom w:w="80" w:type="dxa"/>
              <w:end w:w="80" w:type="dxa"/>
            </w:tcMar>
          </w:tcPr>
          <w:p>
            <w:r>
              <w:rPr>
                <w:rFonts w:ascii="Liberation Serif" w:hAnsi="Liberation Serif"/>
                <w:sz w:val="15"/>
              </w:rPr>
              <w:t>S4 GR = Hydrodynamik eines Mikroregimes</w:t>
            </w:r>
          </w:p>
        </w:tc>
        <w:tc>
          <w:tcPr>
            <w:tcW w:type="dxa" w:w="850"/>
            <w:vAlign w:val="top"/>
            <w:tcMar>
              <w:top w:w="80" w:type="dxa"/>
              <w:start w:w="80" w:type="dxa"/>
              <w:bottom w:w="80" w:type="dxa"/>
              <w:end w:w="80" w:type="dxa"/>
            </w:tcMar>
          </w:tcPr>
          <w:p>
            <w:r>
              <w:rPr>
                <w:rFonts w:ascii="Liberation Serif" w:hAnsi="Liberation Serif"/>
                <w:sz w:val="15"/>
              </w:rPr>
              <w:t>H</w:t>
            </w:r>
          </w:p>
        </w:tc>
        <w:tc>
          <w:tcPr>
            <w:tcW w:type="dxa" w:w="3515"/>
            <w:vAlign w:val="top"/>
            <w:tcMar>
              <w:top w:w="80" w:type="dxa"/>
              <w:start w:w="80" w:type="dxa"/>
              <w:bottom w:w="80" w:type="dxa"/>
              <w:end w:w="80" w:type="dxa"/>
            </w:tcMar>
          </w:tcPr>
          <w:p>
            <w:r>
              <w:rPr>
                <w:rFonts w:ascii="Liberation Serif" w:hAnsi="Liberation Serif"/>
                <w:sz w:val="15"/>
              </w:rPr>
              <w:t>Analogie, keine etablierte Folgerung.</w:t>
            </w:r>
          </w:p>
        </w:tc>
        <w:tc>
          <w:tcPr>
            <w:tcW w:type="dxa" w:w="2891"/>
            <w:vAlign w:val="top"/>
            <w:tcMar>
              <w:top w:w="80" w:type="dxa"/>
              <w:start w:w="80" w:type="dxa"/>
              <w:bottom w:w="80" w:type="dxa"/>
              <w:end w:w="80" w:type="dxa"/>
            </w:tcMar>
          </w:tcPr>
          <w:p>
            <w:r>
              <w:rPr>
                <w:rFonts w:ascii="Liberation Serif" w:hAnsi="Liberation Serif"/>
                <w:sz w:val="15"/>
              </w:rPr>
              <w:t>Als Zielbedingung: Ein Mikro-Modell müsste den Einstein-Grenzfall reproduzieren.</w:t>
            </w:r>
          </w:p>
        </w:tc>
      </w:tr>
      <w:tr>
        <w:tc>
          <w:tcPr>
            <w:tcW w:type="dxa" w:w="1701"/>
            <w:vAlign w:val="top"/>
            <w:tcMar>
              <w:top w:w="80" w:type="dxa"/>
              <w:start w:w="80" w:type="dxa"/>
              <w:bottom w:w="80" w:type="dxa"/>
              <w:end w:w="80" w:type="dxa"/>
            </w:tcMar>
          </w:tcPr>
          <w:p>
            <w:r>
              <w:rPr>
                <w:rFonts w:ascii="Liberation Serif" w:hAnsi="Liberation Serif"/>
                <w:sz w:val="15"/>
              </w:rPr>
              <w:t>S5 Gravitations-„Antiwelle“</w:t>
            </w:r>
          </w:p>
        </w:tc>
        <w:tc>
          <w:tcPr>
            <w:tcW w:type="dxa" w:w="850"/>
            <w:vAlign w:val="top"/>
            <w:tcMar>
              <w:top w:w="80" w:type="dxa"/>
              <w:start w:w="80" w:type="dxa"/>
              <w:bottom w:w="80" w:type="dxa"/>
              <w:end w:w="80" w:type="dxa"/>
            </w:tcMar>
          </w:tcPr>
          <w:p>
            <w:r>
              <w:rPr>
                <w:rFonts w:ascii="Liberation Serif" w:hAnsi="Liberation Serif"/>
                <w:sz w:val="15"/>
              </w:rPr>
              <w:t>B/H</w:t>
            </w:r>
          </w:p>
        </w:tc>
        <w:tc>
          <w:tcPr>
            <w:tcW w:type="dxa" w:w="3515"/>
            <w:vAlign w:val="top"/>
            <w:tcMar>
              <w:top w:w="80" w:type="dxa"/>
              <w:start w:w="80" w:type="dxa"/>
              <w:bottom w:w="80" w:type="dxa"/>
              <w:end w:w="80" w:type="dxa"/>
            </w:tcMar>
          </w:tcPr>
          <w:p>
            <w:r>
              <w:rPr>
                <w:rFonts w:ascii="Liberation Serif" w:hAnsi="Liberation Serif"/>
                <w:sz w:val="15"/>
              </w:rPr>
              <w:t>Linearisierte Störungen superponieren; „Anti-Welle“ als kontrollierbare Technologie oder fundamentale Constraint-Gegenstruktur ist unbelegt.</w:t>
            </w:r>
          </w:p>
        </w:tc>
        <w:tc>
          <w:tcPr>
            <w:tcW w:type="dxa" w:w="2891"/>
            <w:vAlign w:val="top"/>
            <w:tcMar>
              <w:top w:w="80" w:type="dxa"/>
              <w:start w:w="80" w:type="dxa"/>
              <w:bottom w:w="80" w:type="dxa"/>
              <w:end w:w="80" w:type="dxa"/>
            </w:tcMar>
          </w:tcPr>
          <w:p>
            <w:r>
              <w:rPr>
                <w:rFonts w:ascii="Liberation Serif" w:hAnsi="Liberation Serif"/>
                <w:sz w:val="15"/>
              </w:rPr>
              <w:t>Nur linearisierte Interferenz als etablierte Näherung; weitergehende Deutung als Hypothese.</w:t>
            </w:r>
          </w:p>
        </w:tc>
      </w:tr>
    </w:tbl>
    <w:p>
      <w:pPr>
        <w:pStyle w:val="Heading2"/>
      </w:pPr>
      <w:r>
        <w:t>3.3 Zirkularität und Kategorienwechsel</w:t>
      </w:r>
    </w:p>
    <w:p>
      <w:r>
        <w:t>Mehrere Originalpassagen wechseln unmarkiert von einer epistemischen Aussage („Messungen liefern Aufzeichnungen“) zu einer ontologischen Aussage („fundamental existieren nur Ereignisse“). Das ist kein formaler Widerspruch, aber ein Kategorienwechsel. In der revidierten Fassung wird dieser Übergang als Hypothese explizit gemacht.</w:t>
      </w:r>
    </w:p>
    <w:p>
      <w:r>
        <w:t>Ebenso darf die gewünschte Rekonstruktion von Raumzeit aus Kausalordnung nicht als Begründung derselben Kausalordnung verwendet werden. Die saubere Form ist: (i) Kinematik postulieren, (ii) Einbettungs-/Rekonstruktionsbedingungen angeben, (iii) Dynamik definieren, (iv) bekannten Grenzfall herleiten, (v) zusätzliche testbare Konsequenzen bestimmen.</w:t>
      </w:r>
    </w:p>
    <w:p>
      <w:pPr>
        <w:pStyle w:val="Heading1"/>
      </w:pPr>
      <w:r>
        <w:t>4 Physikalische Konsistenzprüfung</w:t>
      </w:r>
    </w:p>
    <w:p>
      <w:pPr>
        <w:pStyle w:val="Heading2"/>
      </w:pPr>
      <w:r>
        <w:t>4.1 Relativität und Kausalstruktur</w:t>
      </w:r>
    </w:p>
    <w:p>
      <w:r>
        <w:t>Der Anschluss an die Relativitätstheorie ist grundsätzlich gut, wenn zwischen Koordinatenwahl, Eigenzeit und Kausalrelation unterschieden wird. Wichtig ist die Einschränkung der Rekonstruktionsaussage: Kausalstruktur kann unter geeigneten Kausalitäts- und Regularitätsannahmen die konforme Struktur einer bereits vorausgesetzten Lorentz-Mannigfaltigkeit bestimmen; zusammen mit einem Volumenmaß lässt sich die Metrik weiter festlegen. Das ist nicht dasselbe wie ein allgemeiner Beweis, dass jedes diskrete Ereignisnetz eine glatte Raumzeit erzeugt.</w:t>
      </w:r>
    </w:p>
    <w:p>
      <w:pPr>
        <w:pStyle w:val="Heading2"/>
      </w:pPr>
      <w:r>
        <w:t>4.2 Planck-Skala</w:t>
      </w:r>
    </w:p>
    <w:p>
      <w:r>
        <w:t>Die Planck-Länge ℓP = √(ℏG/c³) und Planck-Zeit tP = √(ℏG/c⁵) sind natürliche Skalen aus den Konstanten der Quantentheorie, Gravitation und Relativität. Eine fundamentale Mindestlänge ist in verschiedenen Quantengravitationsansätzen motiviert, aber weder als universelles Theorem noch experimentell festgestellt. Deshalb wird „Planck-Kante“ in der Fachfassung als Regimehypothese statt als harte physikalische Grenze formuliert.</w:t>
      </w:r>
    </w:p>
    <w:p>
      <w:pPr>
        <w:pStyle w:val="Heading2"/>
      </w:pPr>
      <w:r>
        <w:t>4.3 Quantenmechanik, Bell und No-Signalling</w:t>
      </w:r>
    </w:p>
    <w:p>
      <w:r>
        <w:t>Die Formulierung von Quantenkorrelationen als „globale Konsistenzbedingungen lokaler Aufzeichnungen“ kann als operationale Interpretation verwendet werden. Sie erklärt die Quantenstruktur jedoch erst dann physikalisch, wenn ein konkreter Formalismus die quantenmechanische Korrelationsmenge reproduziert. Bell-Verletzungen schließen große Klassen lokaler Hidden-Variable-Modelle aus. No-Signalling allein ist ebenfalls nicht hinreichend, weil es Korrelationen erlaubt, die stärker als quantenmechanisch sind. Ein QIK-Modell muss daher mindestens Born-Statistik, Bell-Korrelationen und die quantenmechanischen Grenzen der Korrelationsstärke reproduzieren.</w:t>
      </w:r>
    </w:p>
    <w:p>
      <w:pPr>
        <w:pStyle w:val="Heading2"/>
      </w:pPr>
      <w:r>
        <w:t>4.4 Gravitation und „Antiwelle“</w:t>
      </w:r>
    </w:p>
    <w:p>
      <w:r>
        <w:t>Im schwachen Feld wird die Metrik als g = η + h mit |h| ≪ 1 entwickelt; die führenden Gleichungen für h sind linear, weshalb Wellenkomponenten superponiert werden können. Gegenphasige Störungen können in einem beschränkten Raumzeitbereich destruktiv interferieren. Die vollen Einstein-Gleichungen sind jedoch nichtlinear; es gibt dort keine allgemeine Operation „h → −h“, die Gravitation auslöscht. Die revidierte Fachfassung verwendet „gegenphasige Gravitationswellenkomponente im linearisierten Regime“ und vermeidet den technisch missverständlichen Begriff einer universellen Antiwelle.</w:t>
      </w:r>
    </w:p>
    <w:p>
      <w:pPr>
        <w:pStyle w:val="Heading2"/>
      </w:pPr>
      <w:r>
        <w:t>4.5 Informationsbegriff</w:t>
      </w:r>
    </w:p>
    <w:p>
      <w:r>
        <w:t>„Information ist fundamentaler als Materie“ ist eine metaphysische bzw. ontologische These, kein Resultat der gegenwärtigen Physik. Für einen wissenschaftlichen Rahmen sollte „Information“ operationalisiert werden. Die revidierte Fassung definiert sie als Unterscheidbarkeit von Zuständen/Ergebnisstatistiken und – falls eine numerische Größe benötigt wird – über wohldefinierte Informationsmaße. Damit wird vermieden, Information als stoffartige Entität einzuführen.</w:t>
      </w:r>
    </w:p>
    <w:p>
      <w:pPr>
        <w:pStyle w:val="Heading1"/>
      </w:pPr>
      <w:r>
        <w:t>5 Redundanz- und Strukturprüfung</w:t>
      </w:r>
    </w:p>
    <w:p>
      <w:r>
        <w:t>Das Original enthält einen wissenschaftlichen Kern, eine populärwissenschaftliche Rede, metaphysisch-kulturelle Analogien, eine gesellschaftliche Argumentation über Superdeterminismus, wiederholte Formalisierungsversuche und mehrere Manifest-/Abschlussfassungen. Für eine Fachpublikation sollten diese Textsorten getrennt werden.</w:t>
      </w:r>
    </w:p>
    <w:tbl>
      <w:tblPr>
        <w:tblStyle w:val="TableGrid"/>
        <w:tblW w:type="auto" w:w="0"/>
        <w:jc w:val="center"/>
        <w:tblLook w:firstColumn="1" w:firstRow="1" w:lastColumn="0" w:lastRow="0" w:noHBand="0" w:noVBand="1" w:val="04A0"/>
      </w:tblPr>
      <w:tblGrid>
        <w:gridCol w:w="3099"/>
        <w:gridCol w:w="3099"/>
        <w:gridCol w:w="3099"/>
      </w:tblGrid>
      <w:tr>
        <w:tc>
          <w:tcPr>
            <w:tcW w:type="dxa" w:w="1701"/>
            <w:shd w:fill="D9EAF7"/>
            <w:vAlign w:val="center"/>
            <w:tcMar>
              <w:top w:w="80" w:type="dxa"/>
              <w:start w:w="80" w:type="dxa"/>
              <w:bottom w:w="80" w:type="dxa"/>
              <w:end w:w="80" w:type="dxa"/>
            </w:tcMar>
          </w:tcPr>
          <w:p>
            <w:r>
              <w:rPr>
                <w:rFonts w:ascii="Liberation Sans" w:hAnsi="Liberation Sans"/>
                <w:b/>
                <w:sz w:val="16"/>
              </w:rPr>
              <w:t>Originalbereich</w:t>
            </w:r>
          </w:p>
        </w:tc>
        <w:tc>
          <w:tcPr>
            <w:tcW w:type="dxa" w:w="2948"/>
            <w:shd w:fill="D9EAF7"/>
            <w:vAlign w:val="center"/>
            <w:tcMar>
              <w:top w:w="80" w:type="dxa"/>
              <w:start w:w="80" w:type="dxa"/>
              <w:bottom w:w="80" w:type="dxa"/>
              <w:end w:w="80" w:type="dxa"/>
            </w:tcMar>
          </w:tcPr>
          <w:p>
            <w:r>
              <w:rPr>
                <w:rFonts w:ascii="Liberation Sans" w:hAnsi="Liberation Sans"/>
                <w:b/>
                <w:sz w:val="16"/>
              </w:rPr>
              <w:t>Funktion</w:t>
            </w:r>
          </w:p>
        </w:tc>
        <w:tc>
          <w:tcPr>
            <w:tcW w:type="dxa" w:w="4422"/>
            <w:shd w:fill="D9EAF7"/>
            <w:vAlign w:val="center"/>
            <w:tcMar>
              <w:top w:w="80" w:type="dxa"/>
              <w:start w:w="80" w:type="dxa"/>
              <w:bottom w:w="80" w:type="dxa"/>
              <w:end w:w="80" w:type="dxa"/>
            </w:tcMar>
          </w:tcPr>
          <w:p>
            <w:r>
              <w:rPr>
                <w:rFonts w:ascii="Liberation Sans" w:hAnsi="Liberation Sans"/>
                <w:b/>
                <w:sz w:val="16"/>
              </w:rPr>
              <w:t>Publikationsentscheidung</w:t>
            </w:r>
          </w:p>
        </w:tc>
      </w:tr>
      <w:tr>
        <w:tc>
          <w:tcPr>
            <w:tcW w:type="dxa" w:w="1701"/>
            <w:vAlign w:val="top"/>
            <w:tcMar>
              <w:top w:w="80" w:type="dxa"/>
              <w:start w:w="80" w:type="dxa"/>
              <w:bottom w:w="80" w:type="dxa"/>
              <w:end w:w="80" w:type="dxa"/>
            </w:tcMar>
          </w:tcPr>
          <w:p>
            <w:r>
              <w:rPr>
                <w:rFonts w:ascii="Liberation Serif" w:hAnsi="Liberation Serif"/>
                <w:sz w:val="16"/>
              </w:rPr>
              <w:t>S. 2–5</w:t>
            </w:r>
          </w:p>
        </w:tc>
        <w:tc>
          <w:tcPr>
            <w:tcW w:type="dxa" w:w="2948"/>
            <w:vAlign w:val="top"/>
            <w:tcMar>
              <w:top w:w="80" w:type="dxa"/>
              <w:start w:w="80" w:type="dxa"/>
              <w:bottom w:w="80" w:type="dxa"/>
              <w:end w:w="80" w:type="dxa"/>
            </w:tcMar>
          </w:tcPr>
          <w:p>
            <w:r>
              <w:rPr>
                <w:rFonts w:ascii="Liberation Serif" w:hAnsi="Liberation Serif"/>
                <w:sz w:val="16"/>
              </w:rPr>
              <w:t>Programmatische/metaphysische Rahmung</w:t>
            </w:r>
          </w:p>
        </w:tc>
        <w:tc>
          <w:tcPr>
            <w:tcW w:type="dxa" w:w="4422"/>
            <w:vAlign w:val="top"/>
            <w:tcMar>
              <w:top w:w="80" w:type="dxa"/>
              <w:start w:w="80" w:type="dxa"/>
              <w:bottom w:w="80" w:type="dxa"/>
              <w:end w:w="80" w:type="dxa"/>
            </w:tcMar>
          </w:tcPr>
          <w:p>
            <w:r>
              <w:rPr>
                <w:rFonts w:ascii="Liberation Serif" w:hAnsi="Liberation Serif"/>
                <w:sz w:val="16"/>
              </w:rPr>
              <w:t>Als Vorwort oder Essay separat; nur der Satz „keine neuen Naturgesetze“ bleibt als Scope-Hinweis.</w:t>
            </w:r>
          </w:p>
        </w:tc>
      </w:tr>
      <w:tr>
        <w:tc>
          <w:tcPr>
            <w:tcW w:type="dxa" w:w="1701"/>
            <w:vAlign w:val="top"/>
            <w:tcMar>
              <w:top w:w="80" w:type="dxa"/>
              <w:start w:w="80" w:type="dxa"/>
              <w:bottom w:w="80" w:type="dxa"/>
              <w:end w:w="80" w:type="dxa"/>
            </w:tcMar>
          </w:tcPr>
          <w:p>
            <w:r>
              <w:rPr>
                <w:rFonts w:ascii="Liberation Serif" w:hAnsi="Liberation Serif"/>
                <w:sz w:val="16"/>
              </w:rPr>
              <w:t>S. 6–10</w:t>
            </w:r>
          </w:p>
        </w:tc>
        <w:tc>
          <w:tcPr>
            <w:tcW w:type="dxa" w:w="2948"/>
            <w:vAlign w:val="top"/>
            <w:tcMar>
              <w:top w:w="80" w:type="dxa"/>
              <w:start w:w="80" w:type="dxa"/>
              <w:bottom w:w="80" w:type="dxa"/>
              <w:end w:w="80" w:type="dxa"/>
            </w:tcMar>
          </w:tcPr>
          <w:p>
            <w:r>
              <w:rPr>
                <w:rFonts w:ascii="Liberation Serif" w:hAnsi="Liberation Serif"/>
                <w:sz w:val="16"/>
              </w:rPr>
              <w:t>Titel, Inhaltsstruktur, physikalische Einführung</w:t>
            </w:r>
          </w:p>
        </w:tc>
        <w:tc>
          <w:tcPr>
            <w:tcW w:type="dxa" w:w="4422"/>
            <w:vAlign w:val="top"/>
            <w:tcMar>
              <w:top w:w="80" w:type="dxa"/>
              <w:start w:w="80" w:type="dxa"/>
              <w:bottom w:w="80" w:type="dxa"/>
              <w:end w:w="80" w:type="dxa"/>
            </w:tcMar>
          </w:tcPr>
          <w:p>
            <w:r>
              <w:rPr>
                <w:rFonts w:ascii="Liberation Serif" w:hAnsi="Liberation Serif"/>
                <w:sz w:val="16"/>
              </w:rPr>
              <w:t>In wissenschaftliche Einleitung integrieren; Bild-/Mottoelemente entfernen.</w:t>
            </w:r>
          </w:p>
        </w:tc>
      </w:tr>
      <w:tr>
        <w:tc>
          <w:tcPr>
            <w:tcW w:type="dxa" w:w="1701"/>
            <w:vAlign w:val="top"/>
            <w:tcMar>
              <w:top w:w="80" w:type="dxa"/>
              <w:start w:w="80" w:type="dxa"/>
              <w:bottom w:w="80" w:type="dxa"/>
              <w:end w:w="80" w:type="dxa"/>
            </w:tcMar>
          </w:tcPr>
          <w:p>
            <w:r>
              <w:rPr>
                <w:rFonts w:ascii="Liberation Serif" w:hAnsi="Liberation Serif"/>
                <w:sz w:val="16"/>
              </w:rPr>
              <w:t>S. 11–20</w:t>
            </w:r>
          </w:p>
        </w:tc>
        <w:tc>
          <w:tcPr>
            <w:tcW w:type="dxa" w:w="2948"/>
            <w:vAlign w:val="top"/>
            <w:tcMar>
              <w:top w:w="80" w:type="dxa"/>
              <w:start w:w="80" w:type="dxa"/>
              <w:bottom w:w="80" w:type="dxa"/>
              <w:end w:w="80" w:type="dxa"/>
            </w:tcMar>
          </w:tcPr>
          <w:p>
            <w:r>
              <w:rPr>
                <w:rFonts w:ascii="Liberation Serif" w:hAnsi="Liberation Serif"/>
                <w:sz w:val="16"/>
              </w:rPr>
              <w:t>Rede, Religion/Mythologie/Sci-Fi, Kommunikation über Zeit/Verstorbene</w:t>
            </w:r>
          </w:p>
        </w:tc>
        <w:tc>
          <w:tcPr>
            <w:tcW w:type="dxa" w:w="4422"/>
            <w:vAlign w:val="top"/>
            <w:tcMar>
              <w:top w:w="80" w:type="dxa"/>
              <w:start w:w="80" w:type="dxa"/>
              <w:bottom w:w="80" w:type="dxa"/>
              <w:end w:w="80" w:type="dxa"/>
            </w:tcMar>
          </w:tcPr>
          <w:p>
            <w:r>
              <w:rPr>
                <w:rFonts w:ascii="Liberation Serif" w:hAnsi="Liberation Serif"/>
                <w:sz w:val="16"/>
              </w:rPr>
              <w:t>Aus dem Physikartikel entfernen; eigenständiger kulturphilosophischer Essay möglich.</w:t>
            </w:r>
          </w:p>
        </w:tc>
      </w:tr>
      <w:tr>
        <w:tc>
          <w:tcPr>
            <w:tcW w:type="dxa" w:w="1701"/>
            <w:vAlign w:val="top"/>
            <w:tcMar>
              <w:top w:w="80" w:type="dxa"/>
              <w:start w:w="80" w:type="dxa"/>
              <w:bottom w:w="80" w:type="dxa"/>
              <w:end w:w="80" w:type="dxa"/>
            </w:tcMar>
          </w:tcPr>
          <w:p>
            <w:r>
              <w:rPr>
                <w:rFonts w:ascii="Liberation Serif" w:hAnsi="Liberation Serif"/>
                <w:sz w:val="16"/>
              </w:rPr>
              <w:t>S. 21–29</w:t>
            </w:r>
          </w:p>
        </w:tc>
        <w:tc>
          <w:tcPr>
            <w:tcW w:type="dxa" w:w="2948"/>
            <w:vAlign w:val="top"/>
            <w:tcMar>
              <w:top w:w="80" w:type="dxa"/>
              <w:start w:w="80" w:type="dxa"/>
              <w:bottom w:w="80" w:type="dxa"/>
              <w:end w:w="80" w:type="dxa"/>
            </w:tcMar>
          </w:tcPr>
          <w:p>
            <w:r>
              <w:rPr>
                <w:rFonts w:ascii="Liberation Serif" w:hAnsi="Liberation Serif"/>
                <w:sz w:val="16"/>
              </w:rPr>
              <w:t>Superdeterminismus und gesellschaftliche Folgen</w:t>
            </w:r>
          </w:p>
        </w:tc>
        <w:tc>
          <w:tcPr>
            <w:tcW w:type="dxa" w:w="4422"/>
            <w:vAlign w:val="top"/>
            <w:tcMar>
              <w:top w:w="80" w:type="dxa"/>
              <w:start w:w="80" w:type="dxa"/>
              <w:bottom w:w="80" w:type="dxa"/>
              <w:end w:w="80" w:type="dxa"/>
            </w:tcMar>
          </w:tcPr>
          <w:p>
            <w:r>
              <w:rPr>
                <w:rFonts w:ascii="Liberation Serif" w:hAnsi="Liberation Serif"/>
                <w:sz w:val="16"/>
              </w:rPr>
              <w:t>Aus Physikartikel entfernen; unbelegte sozialwissenschaftliche Kausalbehauptungen vermeiden.</w:t>
            </w:r>
          </w:p>
        </w:tc>
      </w:tr>
      <w:tr>
        <w:tc>
          <w:tcPr>
            <w:tcW w:type="dxa" w:w="1701"/>
            <w:vAlign w:val="top"/>
            <w:tcMar>
              <w:top w:w="80" w:type="dxa"/>
              <w:start w:w="80" w:type="dxa"/>
              <w:bottom w:w="80" w:type="dxa"/>
              <w:end w:w="80" w:type="dxa"/>
            </w:tcMar>
          </w:tcPr>
          <w:p>
            <w:r>
              <w:rPr>
                <w:rFonts w:ascii="Liberation Serif" w:hAnsi="Liberation Serif"/>
                <w:sz w:val="16"/>
              </w:rPr>
              <w:t>S. 30–31</w:t>
            </w:r>
          </w:p>
        </w:tc>
        <w:tc>
          <w:tcPr>
            <w:tcW w:type="dxa" w:w="2948"/>
            <w:vAlign w:val="top"/>
            <w:tcMar>
              <w:top w:w="80" w:type="dxa"/>
              <w:start w:w="80" w:type="dxa"/>
              <w:bottom w:w="80" w:type="dxa"/>
              <w:end w:w="80" w:type="dxa"/>
            </w:tcMar>
          </w:tcPr>
          <w:p>
            <w:r>
              <w:rPr>
                <w:rFonts w:ascii="Liberation Serif" w:hAnsi="Liberation Serif"/>
                <w:sz w:val="16"/>
              </w:rPr>
              <w:t>Axiome/Sätze</w:t>
            </w:r>
          </w:p>
        </w:tc>
        <w:tc>
          <w:tcPr>
            <w:tcW w:type="dxa" w:w="4422"/>
            <w:vAlign w:val="top"/>
            <w:tcMar>
              <w:top w:w="80" w:type="dxa"/>
              <w:start w:w="80" w:type="dxa"/>
              <w:bottom w:w="80" w:type="dxa"/>
              <w:end w:w="80" w:type="dxa"/>
            </w:tcMar>
          </w:tcPr>
          <w:p>
            <w:r>
              <w:rPr>
                <w:rFonts w:ascii="Liberation Serif" w:hAnsi="Liberation Serif"/>
                <w:sz w:val="16"/>
              </w:rPr>
              <w:t>Stark behalten, aber Statusklassen und Schlusslogik korrigieren.</w:t>
            </w:r>
          </w:p>
        </w:tc>
      </w:tr>
      <w:tr>
        <w:tc>
          <w:tcPr>
            <w:tcW w:type="dxa" w:w="1701"/>
            <w:vAlign w:val="top"/>
            <w:tcMar>
              <w:top w:w="80" w:type="dxa"/>
              <w:start w:w="80" w:type="dxa"/>
              <w:bottom w:w="80" w:type="dxa"/>
              <w:end w:w="80" w:type="dxa"/>
            </w:tcMar>
          </w:tcPr>
          <w:p>
            <w:r>
              <w:rPr>
                <w:rFonts w:ascii="Liberation Serif" w:hAnsi="Liberation Serif"/>
                <w:sz w:val="16"/>
              </w:rPr>
              <w:t>S. 32–55</w:t>
            </w:r>
          </w:p>
        </w:tc>
        <w:tc>
          <w:tcPr>
            <w:tcW w:type="dxa" w:w="2948"/>
            <w:vAlign w:val="top"/>
            <w:tcMar>
              <w:top w:w="80" w:type="dxa"/>
              <w:start w:w="80" w:type="dxa"/>
              <w:bottom w:w="80" w:type="dxa"/>
              <w:end w:w="80" w:type="dxa"/>
            </w:tcMar>
          </w:tcPr>
          <w:p>
            <w:r>
              <w:rPr>
                <w:rFonts w:ascii="Liberation Serif" w:hAnsi="Liberation Serif"/>
                <w:sz w:val="16"/>
              </w:rPr>
              <w:t>Mehrere Wiederholungen desselben physikalischen Arguments</w:t>
            </w:r>
          </w:p>
        </w:tc>
        <w:tc>
          <w:tcPr>
            <w:tcW w:type="dxa" w:w="4422"/>
            <w:vAlign w:val="top"/>
            <w:tcMar>
              <w:top w:w="80" w:type="dxa"/>
              <w:start w:w="80" w:type="dxa"/>
              <w:bottom w:w="80" w:type="dxa"/>
              <w:end w:w="80" w:type="dxa"/>
            </w:tcMar>
          </w:tcPr>
          <w:p>
            <w:r>
              <w:rPr>
                <w:rFonts w:ascii="Liberation Serif" w:hAnsi="Liberation Serif"/>
                <w:sz w:val="16"/>
              </w:rPr>
              <w:t>Zu einer linearen Fachargumentation verdichten.</w:t>
            </w:r>
          </w:p>
        </w:tc>
      </w:tr>
      <w:tr>
        <w:tc>
          <w:tcPr>
            <w:tcW w:type="dxa" w:w="1701"/>
            <w:vAlign w:val="top"/>
            <w:tcMar>
              <w:top w:w="80" w:type="dxa"/>
              <w:start w:w="80" w:type="dxa"/>
              <w:bottom w:w="80" w:type="dxa"/>
              <w:end w:w="80" w:type="dxa"/>
            </w:tcMar>
          </w:tcPr>
          <w:p>
            <w:r>
              <w:rPr>
                <w:rFonts w:ascii="Liberation Serif" w:hAnsi="Liberation Serif"/>
                <w:sz w:val="16"/>
              </w:rPr>
              <w:t>S. 57–66</w:t>
            </w:r>
          </w:p>
        </w:tc>
        <w:tc>
          <w:tcPr>
            <w:tcW w:type="dxa" w:w="2948"/>
            <w:vAlign w:val="top"/>
            <w:tcMar>
              <w:top w:w="80" w:type="dxa"/>
              <w:start w:w="80" w:type="dxa"/>
              <w:bottom w:w="80" w:type="dxa"/>
              <w:end w:w="80" w:type="dxa"/>
            </w:tcMar>
          </w:tcPr>
          <w:p>
            <w:r>
              <w:rPr>
                <w:rFonts w:ascii="Liberation Serif" w:hAnsi="Liberation Serif"/>
                <w:sz w:val="16"/>
              </w:rPr>
              <w:t>Executive Summary, Iterationen, Formalkern, Schluss</w:t>
            </w:r>
          </w:p>
        </w:tc>
        <w:tc>
          <w:tcPr>
            <w:tcW w:type="dxa" w:w="4422"/>
            <w:vAlign w:val="top"/>
            <w:tcMar>
              <w:top w:w="80" w:type="dxa"/>
              <w:start w:w="80" w:type="dxa"/>
              <w:bottom w:w="80" w:type="dxa"/>
              <w:end w:w="80" w:type="dxa"/>
            </w:tcMar>
          </w:tcPr>
          <w:p>
            <w:r>
              <w:rPr>
                <w:rFonts w:ascii="Liberation Serif" w:hAnsi="Liberation Serif"/>
                <w:sz w:val="16"/>
              </w:rPr>
              <w:t>Als Kernmaterial konsolidieren; Vorwärts-/Rückwärtsduplikate entfernen.</w:t>
            </w:r>
          </w:p>
        </w:tc>
      </w:tr>
      <w:tr>
        <w:tc>
          <w:tcPr>
            <w:tcW w:type="dxa" w:w="1701"/>
            <w:vAlign w:val="top"/>
            <w:tcMar>
              <w:top w:w="80" w:type="dxa"/>
              <w:start w:w="80" w:type="dxa"/>
              <w:bottom w:w="80" w:type="dxa"/>
              <w:end w:w="80" w:type="dxa"/>
            </w:tcMar>
          </w:tcPr>
          <w:p>
            <w:r>
              <w:rPr>
                <w:rFonts w:ascii="Liberation Serif" w:hAnsi="Liberation Serif"/>
                <w:sz w:val="16"/>
              </w:rPr>
              <w:t>S. 67–71</w:t>
            </w:r>
          </w:p>
        </w:tc>
        <w:tc>
          <w:tcPr>
            <w:tcW w:type="dxa" w:w="2948"/>
            <w:vAlign w:val="top"/>
            <w:tcMar>
              <w:top w:w="80" w:type="dxa"/>
              <w:start w:w="80" w:type="dxa"/>
              <w:bottom w:w="80" w:type="dxa"/>
              <w:end w:w="80" w:type="dxa"/>
            </w:tcMar>
          </w:tcPr>
          <w:p>
            <w:r>
              <w:rPr>
                <w:rFonts w:ascii="Liberation Serif" w:hAnsi="Liberation Serif"/>
                <w:sz w:val="16"/>
              </w:rPr>
              <w:t>Glossar und Literatur</w:t>
            </w:r>
          </w:p>
        </w:tc>
        <w:tc>
          <w:tcPr>
            <w:tcW w:type="dxa" w:w="4422"/>
            <w:vAlign w:val="top"/>
            <w:tcMar>
              <w:top w:w="80" w:type="dxa"/>
              <w:start w:w="80" w:type="dxa"/>
              <w:bottom w:w="80" w:type="dxa"/>
              <w:end w:w="80" w:type="dxa"/>
            </w:tcMar>
          </w:tcPr>
          <w:p>
            <w:r>
              <w:rPr>
                <w:rFonts w:ascii="Liberation Serif" w:hAnsi="Liberation Serif"/>
                <w:sz w:val="16"/>
              </w:rPr>
              <w:t>Behalten, terminologisch präzisieren, Literatur aktualisieren.</w:t>
            </w:r>
          </w:p>
        </w:tc>
      </w:tr>
      <w:tr>
        <w:tc>
          <w:tcPr>
            <w:tcW w:type="dxa" w:w="1701"/>
            <w:vAlign w:val="top"/>
            <w:tcMar>
              <w:top w:w="80" w:type="dxa"/>
              <w:start w:w="80" w:type="dxa"/>
              <w:bottom w:w="80" w:type="dxa"/>
              <w:end w:w="80" w:type="dxa"/>
            </w:tcMar>
          </w:tcPr>
          <w:p>
            <w:r>
              <w:rPr>
                <w:rFonts w:ascii="Liberation Serif" w:hAnsi="Liberation Serif"/>
                <w:sz w:val="16"/>
              </w:rPr>
              <w:t>S. 72–73</w:t>
            </w:r>
          </w:p>
        </w:tc>
        <w:tc>
          <w:tcPr>
            <w:tcW w:type="dxa" w:w="2948"/>
            <w:vAlign w:val="top"/>
            <w:tcMar>
              <w:top w:w="80" w:type="dxa"/>
              <w:start w:w="80" w:type="dxa"/>
              <w:bottom w:w="80" w:type="dxa"/>
              <w:end w:w="80" w:type="dxa"/>
            </w:tcMar>
          </w:tcPr>
          <w:p>
            <w:r>
              <w:rPr>
                <w:rFonts w:ascii="Liberation Serif" w:hAnsi="Liberation Serif"/>
                <w:sz w:val="16"/>
              </w:rPr>
              <w:t>Poster-/Mottoabbildungen</w:t>
            </w:r>
          </w:p>
        </w:tc>
        <w:tc>
          <w:tcPr>
            <w:tcW w:type="dxa" w:w="4422"/>
            <w:vAlign w:val="top"/>
            <w:tcMar>
              <w:top w:w="80" w:type="dxa"/>
              <w:start w:w="80" w:type="dxa"/>
              <w:bottom w:w="80" w:type="dxa"/>
              <w:end w:w="80" w:type="dxa"/>
            </w:tcMar>
          </w:tcPr>
          <w:p>
            <w:r>
              <w:rPr>
                <w:rFonts w:ascii="Liberation Serif" w:hAnsi="Liberation Serif"/>
                <w:sz w:val="16"/>
              </w:rPr>
              <w:t>Nicht in Fachartikel; optional als Outreach-Material.</w:t>
            </w:r>
          </w:p>
        </w:tc>
      </w:tr>
    </w:tbl>
    <w:p>
      <w:r>
        <w:t>Ergebnis der Redundanzbereinigung: Die wissenschaftliche Argumentation lässt sich ohne Verlust des Kerninhalts auf ungefähr ein Drittel bis die Hälfte des Umfangs verdichten. Die revidierte Publikationsfassung nutzt genau eine Definitionsschicht, eine Postulatschicht, eine Rekonstruktionsschicht, eine Quanten-/Gravitationsschicht und einen Abschnitt über Prüfpflichten.</w:t>
      </w:r>
    </w:p>
    <w:p>
      <w:pPr>
        <w:pStyle w:val="Heading1"/>
      </w:pPr>
      <w:r>
        <w:t>6 Formalisierung des QIK-Kerns</w:t>
      </w:r>
    </w:p>
    <w:p>
      <w:r>
        <w:t>Die folgende Minimalstruktur macht aus QIK einen mathematisch prüfbaren Rahmen, ohne bereits eine vollständige Dynamik vorzutäuschen.</w:t>
      </w:r>
    </w:p>
    <w:p>
      <w:pPr>
        <w:pStyle w:val="Equation"/>
        <w:jc w:val="center"/>
      </w:pPr>
      <w:r>
        <w:rPr>
          <w:rFonts w:ascii="DejaVu Serif" w:hAnsi="DejaVu Serif"/>
          <w:sz w:val="21"/>
        </w:rPr>
        <w:t>𝒬 = (E, ≺, μ, 𝓜, P, Π)</w:t>
      </w:r>
      <w:r>
        <w:rPr>
          <w:rFonts w:ascii="Liberation Sans" w:hAnsi="Liberation Sans"/>
          <w:sz w:val="18"/>
        </w:rPr>
        <w:t xml:space="preserve">    (1)</w:t>
      </w:r>
    </w:p>
    <w:p>
      <w:pPr>
        <w:pStyle w:val="ListBullet"/>
        <w:ind w:left="397" w:hanging="142"/>
      </w:pPr>
      <w:r>
        <w:t>E: Menge elementarer Ereignisse bzw. Ereignismarker.</w:t>
      </w:r>
    </w:p>
    <w:p>
      <w:pPr>
        <w:pStyle w:val="ListBullet"/>
        <w:ind w:left="397" w:hanging="142"/>
      </w:pPr>
      <w:r>
        <w:t>≺: strikte Kausalrelation (irreflexiv und transitiv). Für kausal unvergleichbare Ereignisse gilt weder e ≺ f noch f ≺ e.</w:t>
      </w:r>
    </w:p>
    <w:p>
      <w:pPr>
        <w:pStyle w:val="ListBullet"/>
        <w:ind w:left="397" w:hanging="142"/>
      </w:pPr>
      <w:r>
        <w:t>μ: Maßstruktur. Im diskreten Spezialfall kann μ(A) proportional zur Kardinalität |A| sein; diese Identifikation erfordert eine Kalibrierungs-/Einbettungsannahme.</w:t>
      </w:r>
    </w:p>
    <w:p>
      <w:pPr>
        <w:pStyle w:val="ListBullet"/>
        <w:ind w:left="397" w:hanging="142"/>
      </w:pPr>
      <w:r>
        <w:t>𝓜: Menge zulässiger lokaler Mess-/Interventionsprotokolle.</w:t>
      </w:r>
    </w:p>
    <w:p>
      <w:pPr>
        <w:pStyle w:val="ListBullet"/>
        <w:ind w:left="397" w:hanging="142"/>
      </w:pPr>
      <w:r>
        <w:t>P: Wahrscheinlichkeitszuweisung für endliche Records unter Protokollen.</w:t>
      </w:r>
    </w:p>
    <w:p>
      <w:pPr>
        <w:pStyle w:val="ListBullet"/>
        <w:ind w:left="397" w:hanging="142"/>
      </w:pPr>
      <w:r>
        <w:t>Π: Record-Abbildung, die einen realisierten Messprozess auf eine endliche Symbol-/Ereignisfolge abbildet.</w:t>
      </w:r>
    </w:p>
    <w:p>
      <w:pPr>
        <w:pStyle w:val="Equation"/>
        <w:jc w:val="center"/>
      </w:pPr>
      <w:r>
        <w:rPr>
          <w:rFonts w:ascii="DejaVu Serif" w:hAnsi="DejaVu Serif"/>
          <w:sz w:val="21"/>
        </w:rPr>
        <w:t>∀ e,f ∈ E: e ≺ f ⇒ |{x ∈ E : e ≺ x ≺ f}| &lt; ∞</w:t>
      </w:r>
      <w:r>
        <w:rPr>
          <w:rFonts w:ascii="Liberation Sans" w:hAnsi="Liberation Sans"/>
          <w:sz w:val="18"/>
        </w:rPr>
        <w:t xml:space="preserve">    (2) lokale Endlichkeit – Hypothese</w:t>
      </w:r>
    </w:p>
    <w:p>
      <w:r>
        <w:t>Quantität Q wird damit nicht abstrakt als „alles ist Zahl“ definiert, sondern operational durch μ bzw. Zählgrößen. Information I ist keine zusätzliche Substanz, sondern die Unterscheidbarkeit verschiedener Wahrscheinlichkeits- oder Record-Strukturen. Kausalität K ist die Restriktion zulässiger Abhängigkeiten durch ≺.</w:t>
      </w:r>
    </w:p>
    <w:p>
      <w:pPr>
        <w:pStyle w:val="Equation"/>
        <w:jc w:val="center"/>
      </w:pPr>
      <w:r>
        <w:rPr>
          <w:rFonts w:ascii="DejaVu Serif" w:hAnsi="DejaVu Serif"/>
          <w:sz w:val="21"/>
        </w:rPr>
        <w:t>I(p,q) := D(p || q)  oder allgemeiner eine wohldefinierte Distanz/Divengenz zwischen operationalen Statistiken.</w:t>
      </w:r>
      <w:r>
        <w:rPr>
          <w:rFonts w:ascii="Liberation Sans" w:hAnsi="Liberation Sans"/>
          <w:sz w:val="18"/>
        </w:rPr>
        <w:t xml:space="preserve">    (3)</w:t>
      </w:r>
    </w:p>
    <w:p>
      <w:r>
        <w:t>Für kausal unabhängige Messregionen A und B ist eine No-Signalling-Bedingung erforderlich:</w:t>
      </w:r>
    </w:p>
    <w:p>
      <w:pPr>
        <w:pStyle w:val="Equation"/>
        <w:jc w:val="center"/>
      </w:pPr>
      <w:r>
        <w:rPr>
          <w:rFonts w:ascii="DejaVu Serif" w:hAnsi="DejaVu Serif"/>
          <w:sz w:val="21"/>
        </w:rPr>
        <w:t>P(a | x,y) = P(a | x)  und  P(b | x,y) = P(b | y)</w:t>
      </w:r>
      <w:r>
        <w:rPr>
          <w:rFonts w:ascii="Liberation Sans" w:hAnsi="Liberation Sans"/>
          <w:sz w:val="18"/>
        </w:rPr>
        <w:t xml:space="preserve">    (4)</w:t>
      </w:r>
    </w:p>
    <w:p>
      <w:r>
        <w:t>Diese Bedingung ist notwendig, aber nicht hinreichend für Quantenmechanik. Zusätzlich muss die zulässige Korrelationsmenge spezifiziert werden; als Einbettung in Standard-QM wäre beispielsweise P(r|M)=Tr(ρEᵐ_r) zu reproduzieren.</w:t>
      </w:r>
    </w:p>
    <w:p>
      <w:r>
        <w:t>Die Raumzeitrekonstruktion wird ausdrücklich als Zielabbildung formuliert, nicht als bereits bewiesener Satz:</w:t>
      </w:r>
    </w:p>
    <w:p>
      <w:pPr>
        <w:pStyle w:val="Equation"/>
        <w:jc w:val="center"/>
      </w:pPr>
      <w:r>
        <w:rPr>
          <w:rFonts w:ascii="DejaVu Serif" w:hAnsi="DejaVu Serif"/>
          <w:sz w:val="21"/>
        </w:rPr>
        <w:t>ℛ_Λ : (E, ≺, μ, P)  ⇝  (M, g, Φ)_eff  +  ε_Λ</w:t>
      </w:r>
      <w:r>
        <w:rPr>
          <w:rFonts w:ascii="Liberation Sans" w:hAnsi="Liberation Sans"/>
          <w:sz w:val="18"/>
        </w:rPr>
        <w:t xml:space="preserve">    (5)</w:t>
      </w:r>
    </w:p>
    <w:p>
      <w:r>
        <w:t>Λ bezeichnet die Grobkornskala, ε_Λ den Rekonstruktionsfehler. Ein vollständiges Modell muss Bedingungen angeben, unter denen ε_Λ klein wird, Lorentz-Struktur emergiert und der makroskopische Gravitationssektor die Einstein-Gleichungen im geeigneten Grenzfall reproduziert.</w:t>
      </w:r>
    </w:p>
    <w:p>
      <w:pPr>
        <w:pStyle w:val="Heading1"/>
      </w:pPr>
      <w:r>
        <w:t>7 Publikationsstrategie</w:t>
      </w:r>
    </w:p>
    <w:p>
      <w:r>
        <w:t>Die wissenschaftlich stärkste Einreichungsform ist derzeit ein Foundations-/Conceptual-Framework-Paper, nicht die Ankündigung einer abgeschlossenen neuen Physiktheorie. Der Text sollte die Überschneidung mit Causal Sets offen benennen und die eigene Forschungsfrage klar definieren: Kann die Trias Quantität–Information–Kausalität eine operationale Schnittstelle zwischen diskreter Kausalstruktur, lokalen Records, quantenmechanischen Wahrscheinlichkeiten und geometrischer Rekonstruktion liefern?</w:t>
      </w:r>
    </w:p>
    <w:p>
      <w:pPr>
        <w:pStyle w:val="ListNumber"/>
      </w:pPr>
      <w:r>
        <w:t>Zuerst Kinematik publizieren: Definitionen, Statusklassen, Rekonstruktionsanforderungen und Abgrenzung zum Stand der Forschung.</w:t>
      </w:r>
    </w:p>
    <w:p>
      <w:pPr>
        <w:pStyle w:val="ListNumber"/>
      </w:pPr>
      <w:r>
        <w:t>Danach Dynamik liefern: einen konkreten Evolutions-/Gewichtsformalismus auf Ereignisstrukturen.</w:t>
      </w:r>
    </w:p>
    <w:p>
      <w:pPr>
        <w:pStyle w:val="ListNumber"/>
      </w:pPr>
      <w:r>
        <w:t>Quantenbenchmark: mindestens ein Bell-Szenario exakt reproduzieren und zeigen, warum die Korrelationen quantenmechanisch, nicht bloß no-signalling-kompatibel sind.</w:t>
      </w:r>
    </w:p>
    <w:p>
      <w:pPr>
        <w:pStyle w:val="ListNumber"/>
      </w:pPr>
      <w:r>
        <w:t>Gravitationsbenchmark: einen kontrollierten Kontinuumsgrenzfall oder ein Toy Model angeben, in dem eine Lorentz-Geometrie und ein bekannter Feldgleichungsgrenzfall entstehen.</w:t>
      </w:r>
    </w:p>
    <w:p>
      <w:pPr>
        <w:pStyle w:val="ListNumber"/>
      </w:pPr>
      <w:r>
        <w:t>Erst danach eigenständige experimentelle/observatorische Vorhersagen formulieren.</w:t>
      </w:r>
    </w:p>
    <w:p>
      <w:pPr>
        <w:pStyle w:val="Heading1"/>
      </w:pPr>
      <w:r>
        <w:t>8 Änderungsmatrix</w:t>
      </w:r>
    </w:p>
    <w:tbl>
      <w:tblPr>
        <w:tblStyle w:val="TableGrid"/>
        <w:tblW w:type="auto" w:w="0"/>
        <w:jc w:val="center"/>
        <w:tblLook w:firstColumn="1" w:firstRow="1" w:lastColumn="0" w:lastRow="0" w:noHBand="0" w:noVBand="1" w:val="04A0"/>
      </w:tblPr>
      <w:tblGrid>
        <w:gridCol w:w="3099"/>
        <w:gridCol w:w="3099"/>
        <w:gridCol w:w="3099"/>
      </w:tblGrid>
      <w:tr>
        <w:tc>
          <w:tcPr>
            <w:tcW w:type="dxa" w:w="2381"/>
            <w:shd w:fill="D9EAF7"/>
            <w:vAlign w:val="center"/>
            <w:tcMar>
              <w:top w:w="80" w:type="dxa"/>
              <w:start w:w="80" w:type="dxa"/>
              <w:bottom w:w="80" w:type="dxa"/>
              <w:end w:w="80" w:type="dxa"/>
            </w:tcMar>
          </w:tcPr>
          <w:p>
            <w:r>
              <w:rPr>
                <w:rFonts w:ascii="Liberation Sans" w:hAnsi="Liberation Sans"/>
                <w:b/>
                <w:sz w:val="16"/>
              </w:rPr>
              <w:t>Originalformulierung/Typ</w:t>
            </w:r>
          </w:p>
        </w:tc>
        <w:tc>
          <w:tcPr>
            <w:tcW w:type="dxa" w:w="3402"/>
            <w:shd w:fill="D9EAF7"/>
            <w:vAlign w:val="center"/>
            <w:tcMar>
              <w:top w:w="80" w:type="dxa"/>
              <w:start w:w="80" w:type="dxa"/>
              <w:bottom w:w="80" w:type="dxa"/>
              <w:end w:w="80" w:type="dxa"/>
            </w:tcMar>
          </w:tcPr>
          <w:p>
            <w:r>
              <w:rPr>
                <w:rFonts w:ascii="Liberation Sans" w:hAnsi="Liberation Sans"/>
                <w:b/>
                <w:sz w:val="16"/>
              </w:rPr>
              <w:t>Problem</w:t>
            </w:r>
          </w:p>
        </w:tc>
        <w:tc>
          <w:tcPr>
            <w:tcW w:type="dxa" w:w="3402"/>
            <w:shd w:fill="D9EAF7"/>
            <w:vAlign w:val="center"/>
            <w:tcMar>
              <w:top w:w="80" w:type="dxa"/>
              <w:start w:w="80" w:type="dxa"/>
              <w:bottom w:w="80" w:type="dxa"/>
              <w:end w:w="80" w:type="dxa"/>
            </w:tcMar>
          </w:tcPr>
          <w:p>
            <w:r>
              <w:rPr>
                <w:rFonts w:ascii="Liberation Sans" w:hAnsi="Liberation Sans"/>
                <w:b/>
                <w:sz w:val="16"/>
              </w:rPr>
              <w:t>Revision</w:t>
            </w:r>
          </w:p>
        </w:tc>
      </w:tr>
      <w:tr>
        <w:tc>
          <w:tcPr>
            <w:tcW w:type="dxa" w:w="2381"/>
            <w:vAlign w:val="top"/>
            <w:tcMar>
              <w:top w:w="80" w:type="dxa"/>
              <w:start w:w="80" w:type="dxa"/>
              <w:bottom w:w="80" w:type="dxa"/>
              <w:end w:w="80" w:type="dxa"/>
            </w:tcMar>
          </w:tcPr>
          <w:p>
            <w:r>
              <w:rPr>
                <w:rFonts w:ascii="Liberation Serif" w:hAnsi="Liberation Serif"/>
                <w:sz w:val="16"/>
              </w:rPr>
              <w:t>„Objektiv sind genau die invarianten Aussagen“</w:t>
            </w:r>
          </w:p>
        </w:tc>
        <w:tc>
          <w:tcPr>
            <w:tcW w:type="dxa" w:w="3402"/>
            <w:vAlign w:val="top"/>
            <w:tcMar>
              <w:top w:w="80" w:type="dxa"/>
              <w:start w:w="80" w:type="dxa"/>
              <w:bottom w:w="80" w:type="dxa"/>
              <w:end w:w="80" w:type="dxa"/>
            </w:tcMar>
          </w:tcPr>
          <w:p>
            <w:r>
              <w:rPr>
                <w:rFonts w:ascii="Liberation Serif" w:hAnsi="Liberation Serif"/>
                <w:sz w:val="16"/>
              </w:rPr>
              <w:t>Zu absolut; verwechselt methodische Objektivität mit skalarer Invarianz.</w:t>
            </w:r>
          </w:p>
        </w:tc>
        <w:tc>
          <w:tcPr>
            <w:tcW w:type="dxa" w:w="3402"/>
            <w:vAlign w:val="top"/>
            <w:tcMar>
              <w:top w:w="80" w:type="dxa"/>
              <w:start w:w="80" w:type="dxa"/>
              <w:bottom w:w="80" w:type="dxa"/>
              <w:end w:w="80" w:type="dxa"/>
            </w:tcMar>
          </w:tcPr>
          <w:p>
            <w:r>
              <w:rPr>
                <w:rFonts w:ascii="Liberation Serif" w:hAnsi="Liberation Serif"/>
                <w:sz w:val="16"/>
              </w:rPr>
              <w:t>Kovariant definierte Relationen und beobachterunabhängige Vorhersagen.</w:t>
            </w:r>
          </w:p>
        </w:tc>
      </w:tr>
      <w:tr>
        <w:tc>
          <w:tcPr>
            <w:tcW w:type="dxa" w:w="2381"/>
            <w:vAlign w:val="top"/>
            <w:tcMar>
              <w:top w:w="80" w:type="dxa"/>
              <w:start w:w="80" w:type="dxa"/>
              <w:bottom w:w="80" w:type="dxa"/>
              <w:end w:w="80" w:type="dxa"/>
            </w:tcMar>
          </w:tcPr>
          <w:p>
            <w:r>
              <w:rPr>
                <w:rFonts w:ascii="Liberation Serif" w:hAnsi="Liberation Serif"/>
                <w:sz w:val="16"/>
              </w:rPr>
              <w:t>„Fundamental ist eine lokal endliche Ereignismenge“</w:t>
            </w:r>
          </w:p>
        </w:tc>
        <w:tc>
          <w:tcPr>
            <w:tcW w:type="dxa" w:w="3402"/>
            <w:vAlign w:val="top"/>
            <w:tcMar>
              <w:top w:w="80" w:type="dxa"/>
              <w:start w:w="80" w:type="dxa"/>
              <w:bottom w:w="80" w:type="dxa"/>
              <w:end w:w="80" w:type="dxa"/>
            </w:tcMar>
          </w:tcPr>
          <w:p>
            <w:r>
              <w:rPr>
                <w:rFonts w:ascii="Liberation Serif" w:hAnsi="Liberation Serif"/>
                <w:sz w:val="16"/>
              </w:rPr>
              <w:t>Als Schluss formuliert, tatsächlich Hypothese.</w:t>
            </w:r>
          </w:p>
        </w:tc>
        <w:tc>
          <w:tcPr>
            <w:tcW w:type="dxa" w:w="3402"/>
            <w:vAlign w:val="top"/>
            <w:tcMar>
              <w:top w:w="80" w:type="dxa"/>
              <w:start w:w="80" w:type="dxa"/>
              <w:bottom w:w="80" w:type="dxa"/>
              <w:end w:w="80" w:type="dxa"/>
            </w:tcMar>
          </w:tcPr>
          <w:p>
            <w:r>
              <w:rPr>
                <w:rFonts w:ascii="Liberation Serif" w:hAnsi="Liberation Serif"/>
                <w:sz w:val="16"/>
              </w:rPr>
              <w:t>Explizit H1; Verbindung zu Causal Sets zitieren.</w:t>
            </w:r>
          </w:p>
        </w:tc>
      </w:tr>
      <w:tr>
        <w:tc>
          <w:tcPr>
            <w:tcW w:type="dxa" w:w="2381"/>
            <w:vAlign w:val="top"/>
            <w:tcMar>
              <w:top w:w="80" w:type="dxa"/>
              <w:start w:w="80" w:type="dxa"/>
              <w:bottom w:w="80" w:type="dxa"/>
              <w:end w:w="80" w:type="dxa"/>
            </w:tcMar>
          </w:tcPr>
          <w:p>
            <w:r>
              <w:rPr>
                <w:rFonts w:ascii="Liberation Serif" w:hAnsi="Liberation Serif"/>
                <w:sz w:val="16"/>
              </w:rPr>
              <w:t>„Planck = Minimalauflösung“</w:t>
            </w:r>
          </w:p>
        </w:tc>
        <w:tc>
          <w:tcPr>
            <w:tcW w:type="dxa" w:w="3402"/>
            <w:vAlign w:val="top"/>
            <w:tcMar>
              <w:top w:w="80" w:type="dxa"/>
              <w:start w:w="80" w:type="dxa"/>
              <w:bottom w:w="80" w:type="dxa"/>
              <w:end w:w="80" w:type="dxa"/>
            </w:tcMar>
          </w:tcPr>
          <w:p>
            <w:r>
              <w:rPr>
                <w:rFonts w:ascii="Liberation Serif" w:hAnsi="Liberation Serif"/>
                <w:sz w:val="16"/>
              </w:rPr>
              <w:t>Nicht experimentell/axiomatisch gesichert.</w:t>
            </w:r>
          </w:p>
        </w:tc>
        <w:tc>
          <w:tcPr>
            <w:tcW w:type="dxa" w:w="3402"/>
            <w:vAlign w:val="top"/>
            <w:tcMar>
              <w:top w:w="80" w:type="dxa"/>
              <w:start w:w="80" w:type="dxa"/>
              <w:bottom w:w="80" w:type="dxa"/>
              <w:end w:w="80" w:type="dxa"/>
            </w:tcMar>
          </w:tcPr>
          <w:p>
            <w:r>
              <w:rPr>
                <w:rFonts w:ascii="Liberation Serif" w:hAnsi="Liberation Serif"/>
                <w:sz w:val="16"/>
              </w:rPr>
              <w:t>Planck-Skala als erwarteter Quantengravitations-/Operationalitätsbereich.</w:t>
            </w:r>
          </w:p>
        </w:tc>
      </w:tr>
      <w:tr>
        <w:tc>
          <w:tcPr>
            <w:tcW w:type="dxa" w:w="2381"/>
            <w:vAlign w:val="top"/>
            <w:tcMar>
              <w:top w:w="80" w:type="dxa"/>
              <w:start w:w="80" w:type="dxa"/>
              <w:bottom w:w="80" w:type="dxa"/>
              <w:end w:w="80" w:type="dxa"/>
            </w:tcMar>
          </w:tcPr>
          <w:p>
            <w:r>
              <w:rPr>
                <w:rFonts w:ascii="Liberation Serif" w:hAnsi="Liberation Serif"/>
                <w:sz w:val="16"/>
              </w:rPr>
              <w:t>„Welle = Möglichkeiten, Teilchen = Aufzeichnung“</w:t>
            </w:r>
          </w:p>
        </w:tc>
        <w:tc>
          <w:tcPr>
            <w:tcW w:type="dxa" w:w="3402"/>
            <w:vAlign w:val="top"/>
            <w:tcMar>
              <w:top w:w="80" w:type="dxa"/>
              <w:start w:w="80" w:type="dxa"/>
              <w:bottom w:w="80" w:type="dxa"/>
              <w:end w:w="80" w:type="dxa"/>
            </w:tcMar>
          </w:tcPr>
          <w:p>
            <w:r>
              <w:rPr>
                <w:rFonts w:ascii="Liberation Serif" w:hAnsi="Liberation Serif"/>
                <w:sz w:val="16"/>
              </w:rPr>
              <w:t>Interpretationsabhängig.</w:t>
            </w:r>
          </w:p>
        </w:tc>
        <w:tc>
          <w:tcPr>
            <w:tcW w:type="dxa" w:w="3402"/>
            <w:vAlign w:val="top"/>
            <w:tcMar>
              <w:top w:w="80" w:type="dxa"/>
              <w:start w:w="80" w:type="dxa"/>
              <w:bottom w:w="80" w:type="dxa"/>
              <w:end w:w="80" w:type="dxa"/>
            </w:tcMar>
          </w:tcPr>
          <w:p>
            <w:r>
              <w:rPr>
                <w:rFonts w:ascii="Liberation Serif" w:hAnsi="Liberation Serif"/>
                <w:sz w:val="16"/>
              </w:rPr>
              <w:t>Als operationale Lesart I1, nicht als ontologischer Beweis.</w:t>
            </w:r>
          </w:p>
        </w:tc>
      </w:tr>
      <w:tr>
        <w:tc>
          <w:tcPr>
            <w:tcW w:type="dxa" w:w="2381"/>
            <w:vAlign w:val="top"/>
            <w:tcMar>
              <w:top w:w="80" w:type="dxa"/>
              <w:start w:w="80" w:type="dxa"/>
              <w:bottom w:w="80" w:type="dxa"/>
              <w:end w:w="80" w:type="dxa"/>
            </w:tcMar>
          </w:tcPr>
          <w:p>
            <w:r>
              <w:rPr>
                <w:rFonts w:ascii="Liberation Serif" w:hAnsi="Liberation Serif"/>
                <w:sz w:val="16"/>
              </w:rPr>
              <w:t>„GR ist Hydrodynamik des Mikroregimes“</w:t>
            </w:r>
          </w:p>
        </w:tc>
        <w:tc>
          <w:tcPr>
            <w:tcW w:type="dxa" w:w="3402"/>
            <w:vAlign w:val="top"/>
            <w:tcMar>
              <w:top w:w="80" w:type="dxa"/>
              <w:start w:w="80" w:type="dxa"/>
              <w:bottom w:w="80" w:type="dxa"/>
              <w:end w:w="80" w:type="dxa"/>
            </w:tcMar>
          </w:tcPr>
          <w:p>
            <w:r>
              <w:rPr>
                <w:rFonts w:ascii="Liberation Serif" w:hAnsi="Liberation Serif"/>
                <w:sz w:val="16"/>
              </w:rPr>
              <w:t>Starke, unbewiesene Emergenzbehauptung.</w:t>
            </w:r>
          </w:p>
        </w:tc>
        <w:tc>
          <w:tcPr>
            <w:tcW w:type="dxa" w:w="3402"/>
            <w:vAlign w:val="top"/>
            <w:tcMar>
              <w:top w:w="80" w:type="dxa"/>
              <w:start w:w="80" w:type="dxa"/>
              <w:bottom w:w="80" w:type="dxa"/>
              <w:end w:w="80" w:type="dxa"/>
            </w:tcMar>
          </w:tcPr>
          <w:p>
            <w:r>
              <w:rPr>
                <w:rFonts w:ascii="Liberation Serif" w:hAnsi="Liberation Serif"/>
                <w:sz w:val="16"/>
              </w:rPr>
              <w:t>Als zu erfüllender makroskopischer Grenzfall.</w:t>
            </w:r>
          </w:p>
        </w:tc>
      </w:tr>
      <w:tr>
        <w:tc>
          <w:tcPr>
            <w:tcW w:type="dxa" w:w="2381"/>
            <w:vAlign w:val="top"/>
            <w:tcMar>
              <w:top w:w="80" w:type="dxa"/>
              <w:start w:w="80" w:type="dxa"/>
              <w:bottom w:w="80" w:type="dxa"/>
              <w:end w:w="80" w:type="dxa"/>
            </w:tcMar>
          </w:tcPr>
          <w:p>
            <w:r>
              <w:rPr>
                <w:rFonts w:ascii="Liberation Serif" w:hAnsi="Liberation Serif"/>
                <w:sz w:val="16"/>
              </w:rPr>
              <w:t>„Quantenkorrelationen = globale Constraints“</w:t>
            </w:r>
          </w:p>
        </w:tc>
        <w:tc>
          <w:tcPr>
            <w:tcW w:type="dxa" w:w="3402"/>
            <w:vAlign w:val="top"/>
            <w:tcMar>
              <w:top w:w="80" w:type="dxa"/>
              <w:start w:w="80" w:type="dxa"/>
              <w:bottom w:w="80" w:type="dxa"/>
              <w:end w:w="80" w:type="dxa"/>
            </w:tcMar>
          </w:tcPr>
          <w:p>
            <w:r>
              <w:rPr>
                <w:rFonts w:ascii="Liberation Serif" w:hAnsi="Liberation Serif"/>
                <w:sz w:val="16"/>
              </w:rPr>
              <w:t>Ohne Korrelationsformalismus unterbestimmt.</w:t>
            </w:r>
          </w:p>
        </w:tc>
        <w:tc>
          <w:tcPr>
            <w:tcW w:type="dxa" w:w="3402"/>
            <w:vAlign w:val="top"/>
            <w:tcMar>
              <w:top w:w="80" w:type="dxa"/>
              <w:start w:w="80" w:type="dxa"/>
              <w:bottom w:w="80" w:type="dxa"/>
              <w:end w:w="80" w:type="dxa"/>
            </w:tcMar>
          </w:tcPr>
          <w:p>
            <w:r>
              <w:rPr>
                <w:rFonts w:ascii="Liberation Serif" w:hAnsi="Liberation Serif"/>
                <w:sz w:val="16"/>
              </w:rPr>
              <w:t>Als Interpretation plus harte Benchmark-Anforderungen Bell/Born/Tsirelson.</w:t>
            </w:r>
          </w:p>
        </w:tc>
      </w:tr>
      <w:tr>
        <w:tc>
          <w:tcPr>
            <w:tcW w:type="dxa" w:w="2381"/>
            <w:vAlign w:val="top"/>
            <w:tcMar>
              <w:top w:w="80" w:type="dxa"/>
              <w:start w:w="80" w:type="dxa"/>
              <w:bottom w:w="80" w:type="dxa"/>
              <w:end w:w="80" w:type="dxa"/>
            </w:tcMar>
          </w:tcPr>
          <w:p>
            <w:r>
              <w:rPr>
                <w:rFonts w:ascii="Liberation Serif" w:hAnsi="Liberation Serif"/>
                <w:sz w:val="16"/>
              </w:rPr>
              <w:t>„Antiwelle“</w:t>
            </w:r>
          </w:p>
        </w:tc>
        <w:tc>
          <w:tcPr>
            <w:tcW w:type="dxa" w:w="3402"/>
            <w:vAlign w:val="top"/>
            <w:tcMar>
              <w:top w:w="80" w:type="dxa"/>
              <w:start w:w="80" w:type="dxa"/>
              <w:bottom w:w="80" w:type="dxa"/>
              <w:end w:w="80" w:type="dxa"/>
            </w:tcMar>
          </w:tcPr>
          <w:p>
            <w:r>
              <w:rPr>
                <w:rFonts w:ascii="Liberation Serif" w:hAnsi="Liberation Serif"/>
                <w:sz w:val="16"/>
              </w:rPr>
              <w:t>Begriff suggeriert universelles Auslöschen.</w:t>
            </w:r>
          </w:p>
        </w:tc>
        <w:tc>
          <w:tcPr>
            <w:tcW w:type="dxa" w:w="3402"/>
            <w:vAlign w:val="top"/>
            <w:tcMar>
              <w:top w:w="80" w:type="dxa"/>
              <w:start w:w="80" w:type="dxa"/>
              <w:bottom w:w="80" w:type="dxa"/>
              <w:end w:w="80" w:type="dxa"/>
            </w:tcMar>
          </w:tcPr>
          <w:p>
            <w:r>
              <w:rPr>
                <w:rFonts w:ascii="Liberation Serif" w:hAnsi="Liberation Serif"/>
                <w:sz w:val="16"/>
              </w:rPr>
              <w:t>Gegenphasige Interferenz nur im linearisierten Regime; volle GR nichtlinear.</w:t>
            </w:r>
          </w:p>
        </w:tc>
      </w:tr>
      <w:tr>
        <w:tc>
          <w:tcPr>
            <w:tcW w:type="dxa" w:w="2381"/>
            <w:vAlign w:val="top"/>
            <w:tcMar>
              <w:top w:w="80" w:type="dxa"/>
              <w:start w:w="80" w:type="dxa"/>
              <w:bottom w:w="80" w:type="dxa"/>
              <w:end w:w="80" w:type="dxa"/>
            </w:tcMar>
          </w:tcPr>
          <w:p>
            <w:r>
              <w:rPr>
                <w:rFonts w:ascii="Liberation Serif" w:hAnsi="Liberation Serif"/>
                <w:sz w:val="16"/>
              </w:rPr>
              <w:t>„Information first“</w:t>
            </w:r>
          </w:p>
        </w:tc>
        <w:tc>
          <w:tcPr>
            <w:tcW w:type="dxa" w:w="3402"/>
            <w:vAlign w:val="top"/>
            <w:tcMar>
              <w:top w:w="80" w:type="dxa"/>
              <w:start w:w="80" w:type="dxa"/>
              <w:bottom w:w="80" w:type="dxa"/>
              <w:end w:w="80" w:type="dxa"/>
            </w:tcMar>
          </w:tcPr>
          <w:p>
            <w:r>
              <w:rPr>
                <w:rFonts w:ascii="Liberation Serif" w:hAnsi="Liberation Serif"/>
                <w:sz w:val="16"/>
              </w:rPr>
              <w:t>Metaphysische Aussage ohne operationalen Informationsbegriff.</w:t>
            </w:r>
          </w:p>
        </w:tc>
        <w:tc>
          <w:tcPr>
            <w:tcW w:type="dxa" w:w="3402"/>
            <w:vAlign w:val="top"/>
            <w:tcMar>
              <w:top w:w="80" w:type="dxa"/>
              <w:start w:w="80" w:type="dxa"/>
              <w:bottom w:w="80" w:type="dxa"/>
              <w:end w:w="80" w:type="dxa"/>
            </w:tcMar>
          </w:tcPr>
          <w:p>
            <w:r>
              <w:rPr>
                <w:rFonts w:ascii="Liberation Serif" w:hAnsi="Liberation Serif"/>
                <w:sz w:val="16"/>
              </w:rPr>
              <w:t>Information = operational definierte Unterscheidbarkeit/Statistik.</w:t>
            </w:r>
          </w:p>
        </w:tc>
      </w:tr>
      <w:tr>
        <w:tc>
          <w:tcPr>
            <w:tcW w:type="dxa" w:w="2381"/>
            <w:vAlign w:val="top"/>
            <w:tcMar>
              <w:top w:w="80" w:type="dxa"/>
              <w:start w:w="80" w:type="dxa"/>
              <w:bottom w:w="80" w:type="dxa"/>
              <w:end w:w="80" w:type="dxa"/>
            </w:tcMar>
          </w:tcPr>
          <w:p>
            <w:r>
              <w:rPr>
                <w:rFonts w:ascii="Liberation Serif" w:hAnsi="Liberation Serif"/>
                <w:sz w:val="16"/>
              </w:rPr>
              <w:t>„q.e.d.“ / „DONE“ an vielen Stellen</w:t>
            </w:r>
          </w:p>
        </w:tc>
        <w:tc>
          <w:tcPr>
            <w:tcW w:type="dxa" w:w="3402"/>
            <w:vAlign w:val="top"/>
            <w:tcMar>
              <w:top w:w="80" w:type="dxa"/>
              <w:start w:w="80" w:type="dxa"/>
              <w:bottom w:w="80" w:type="dxa"/>
              <w:end w:w="80" w:type="dxa"/>
            </w:tcMar>
          </w:tcPr>
          <w:p>
            <w:r>
              <w:rPr>
                <w:rFonts w:ascii="Liberation Serif" w:hAnsi="Liberation Serif"/>
                <w:sz w:val="16"/>
              </w:rPr>
              <w:t>Suggeriert Beweisabschluss trotz offener Dynamik/Empirie.</w:t>
            </w:r>
          </w:p>
        </w:tc>
        <w:tc>
          <w:tcPr>
            <w:tcW w:type="dxa" w:w="3402"/>
            <w:vAlign w:val="top"/>
            <w:tcMar>
              <w:top w:w="80" w:type="dxa"/>
              <w:start w:w="80" w:type="dxa"/>
              <w:bottom w:w="80" w:type="dxa"/>
              <w:end w:w="80" w:type="dxa"/>
            </w:tcMar>
          </w:tcPr>
          <w:p>
            <w:r>
              <w:rPr>
                <w:rFonts w:ascii="Liberation Serif" w:hAnsi="Liberation Serif"/>
                <w:sz w:val="16"/>
              </w:rPr>
              <w:t>„Folgerung im Rahmen“, „Hypothese“, „offene Modellpflicht“.</w:t>
            </w:r>
          </w:p>
        </w:tc>
      </w:tr>
    </w:tbl>
    <w:p>
      <w:pPr>
        <w:pStyle w:val="Heading1"/>
      </w:pPr>
      <w:r>
        <w:t>9 Literatur- und Quellenbasis</w:t>
      </w:r>
    </w:p>
    <w:p>
      <w:pPr>
        <w:ind w:hanging="283" w:left="283"/>
      </w:pPr>
      <w:r>
        <w:t>Bell, J. S. (1964). On the Einstein Podolsky Rosen paradox. Physics Physique Fizika 1, 195–200. DOI: 10.1103/PhysicsPhysiqueFizika.1.195.</w:t>
      </w:r>
    </w:p>
    <w:p>
      <w:pPr>
        <w:ind w:hanging="283" w:left="283"/>
      </w:pPr>
      <w:r>
        <w:t>Bombelli, L., Lee, J., Meyer, D., &amp; Sorkin, R. D. (1987). Space-time as a causal set. Physical Review Letters 59, 521–524. DOI: 10.1103/PhysRevLett.59.521.</w:t>
      </w:r>
    </w:p>
    <w:p>
      <w:pPr>
        <w:ind w:hanging="283" w:left="283"/>
      </w:pPr>
      <w:r>
        <w:t>Brunner, N., Cavalcanti, D., Pironio, S., Scarani, V., &amp; Wehner, S. (2014). Bell nonlocality. Reviews of Modern Physics 86, 419–478. DOI: 10.1103/RevModPhys.86.419.</w:t>
      </w:r>
    </w:p>
    <w:p>
      <w:pPr>
        <w:ind w:hanging="283" w:left="283"/>
      </w:pPr>
      <w:r>
        <w:t>Hawking, S. W., King, A. R., &amp; McCarthy, P. J. (1976). A new topology for curved space-time which incorporates the causal, differential, and conformal structures. Journal of Mathematical Physics 17. DOI: 10.1063/1.522874.</w:t>
      </w:r>
    </w:p>
    <w:p>
      <w:pPr>
        <w:ind w:hanging="283" w:left="283"/>
      </w:pPr>
      <w:r>
        <w:t>Hossenfelder, S. (2013). Minimal Length Scale Scenarios for Quantum Gravity. Living Reviews in Relativity 16, 2. DOI: 10.12942/lrr-2013-2.</w:t>
      </w:r>
    </w:p>
    <w:p>
      <w:pPr>
        <w:ind w:hanging="283" w:left="283"/>
      </w:pPr>
      <w:r>
        <w:t>Malament, D. B. (1977). The class of continuous timelike curves determines the topology of spacetime. Journal of Mathematical Physics 18, 1399–1404. DOI: 10.1063/1.523436.</w:t>
      </w:r>
    </w:p>
    <w:p>
      <w:pPr>
        <w:ind w:hanging="283" w:left="283"/>
      </w:pPr>
      <w:r>
        <w:t>Surya, S. (2019). The causal set approach to quantum gravity. Living Reviews in Relativity 22, 5. DOI: 10.1007/s41114-019-0023-1.</w:t>
      </w:r>
    </w:p>
    <w:p>
      <w:pPr>
        <w:ind w:hanging="283" w:left="283"/>
      </w:pPr>
      <w:r>
        <w:t>Teukolsky, S. A. (1982). Linearized quadrupole waves in general relativity and the motion of test particles. Physical Review D 26, 745. DOI: 10.1103/PhysRevD.26.745.</w:t>
      </w:r>
    </w:p>
    <w:p>
      <w:pPr>
        <w:ind w:hanging="283" w:left="283"/>
      </w:pPr>
      <w:r>
        <w:t>Wald, R. M. (1984). General Relativity. University of Chicago Press.</w:t>
      </w:r>
    </w:p>
    <w:p>
      <w:pPr>
        <w:ind w:hanging="283" w:left="283"/>
      </w:pPr>
      <w:r>
        <w:t>Zurek, W. H. (2003). Decoherence, einselection, and the quantum origins of the classical. Reviews of Modern Physics 75, 715–775. DOI: 10.1103/RevModPhys.75.715.</w:t>
      </w:r>
    </w:p>
    <w:sectPr w:rsidR="00FC693F" w:rsidRPr="0006063C" w:rsidSect="00034616">
      <w:headerReference w:type="default" r:id="rId9"/>
      <w:footerReference w:type="default" r:id="rId10"/>
      <w:pgSz w:w="11906" w:h="16838"/>
      <w:pgMar w:top="1247" w:right="1304" w:bottom="1134"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6"/>
      </w:rPr>
      <w:t>QIK – Wissenschaftlicher Revisionsbericht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22222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pPr>
    <w:rPr>
      <w:rFonts w:ascii="Liberation Serif" w:hAnsi="Liberation Serif"/>
      <w:sz w:val="21"/>
    </w:rPr>
  </w:style>
  <w:style w:type="paragraph" w:customStyle="1" w:styleId="SmallNote">
    <w:name w:val="Small Note"/>
    <w:pPr>
      <w:spacing w:after="60"/>
    </w:pPr>
    <w:rPr>
      <w:rFonts w:ascii="Liberation Sans" w:hAnsi="Liberation San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