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6D" w:rsidRPr="0003236D" w:rsidRDefault="00F85477" w:rsidP="0003236D">
      <w:r>
        <w:t>Derreta-se com os Queijos</w:t>
      </w:r>
    </w:p>
    <w:p w:rsidR="0003236D" w:rsidRPr="0003236D" w:rsidRDefault="0003236D" w:rsidP="0003236D"/>
    <w:p w:rsidR="0003236D" w:rsidRPr="0003236D" w:rsidRDefault="0003236D" w:rsidP="0003236D">
      <w:r w:rsidRPr="0003236D">
        <w:t>Eles não são os melhores amigos da balança, mas, com certeza, garantem uma boa dose de proteína. Verifique alguns tipos de queijos e suas calorias e, dependendo do caso, escolha quais estão liberados para o cardápio do dia-a-dia e os que ficam reservados para uma data especial.</w:t>
      </w:r>
    </w:p>
    <w:p w:rsidR="0003236D" w:rsidRPr="0003236D" w:rsidRDefault="0003236D" w:rsidP="0003236D">
      <w:bookmarkStart w:id="0" w:name="_GoBack"/>
      <w:bookmarkEnd w:id="0"/>
    </w:p>
    <w:tbl>
      <w:tblPr>
        <w:tblW w:w="8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04"/>
      </w:tblGrid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Queijos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Calorias</w:t>
            </w:r>
          </w:p>
        </w:tc>
      </w:tr>
      <w:tr w:rsidR="00A74174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A74174" w:rsidRPr="0003236D" w:rsidRDefault="00A74174" w:rsidP="0003236D">
            <w:pPr>
              <w:spacing w:after="0" w:line="276" w:lineRule="auto"/>
            </w:pPr>
            <w:r w:rsidRPr="0003236D">
              <w:t>As calorias dos queijos correspondem</w:t>
            </w:r>
            <w:r>
              <w:t xml:space="preserve"> </w:t>
            </w:r>
            <w:r w:rsidRPr="0003236D">
              <w:t>a uma fatia média (30 gramas)</w:t>
            </w:r>
          </w:p>
        </w:tc>
        <w:tc>
          <w:tcPr>
            <w:tcW w:w="4604" w:type="dxa"/>
            <w:shd w:val="clear" w:color="auto" w:fill="auto"/>
          </w:tcPr>
          <w:p w:rsidR="00A74174" w:rsidRPr="0003236D" w:rsidRDefault="00A74174" w:rsidP="0003236D">
            <w:pPr>
              <w:spacing w:after="0" w:line="276" w:lineRule="auto"/>
            </w:pP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Ricota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54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 xml:space="preserve">Minas </w:t>
            </w:r>
            <w:proofErr w:type="spellStart"/>
            <w:r w:rsidRPr="0003236D">
              <w:t>frescal</w:t>
            </w:r>
            <w:proofErr w:type="spellEnd"/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73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proofErr w:type="spellStart"/>
            <w:r w:rsidRPr="0003236D">
              <w:t>Mussarela</w:t>
            </w:r>
            <w:proofErr w:type="spellEnd"/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97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Provolone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103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Prato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106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Parmesão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117</w:t>
            </w:r>
          </w:p>
        </w:tc>
      </w:tr>
      <w:tr w:rsidR="0003236D" w:rsidRPr="0003236D" w:rsidTr="0003236D">
        <w:trPr>
          <w:trHeight w:val="283"/>
        </w:trPr>
        <w:tc>
          <w:tcPr>
            <w:tcW w:w="4111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Gorgonzola</w:t>
            </w:r>
          </w:p>
        </w:tc>
        <w:tc>
          <w:tcPr>
            <w:tcW w:w="4604" w:type="dxa"/>
            <w:shd w:val="clear" w:color="auto" w:fill="auto"/>
          </w:tcPr>
          <w:p w:rsidR="0003236D" w:rsidRPr="0003236D" w:rsidRDefault="0003236D" w:rsidP="0003236D">
            <w:pPr>
              <w:spacing w:after="0" w:line="276" w:lineRule="auto"/>
            </w:pPr>
            <w:r w:rsidRPr="0003236D">
              <w:t>120</w:t>
            </w:r>
          </w:p>
        </w:tc>
      </w:tr>
    </w:tbl>
    <w:p w:rsidR="0003236D" w:rsidRPr="0003236D" w:rsidRDefault="0003236D" w:rsidP="0003236D"/>
    <w:p w:rsidR="00C145CA" w:rsidRDefault="00C145CA"/>
    <w:sectPr w:rsidR="00C14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6D"/>
    <w:rsid w:val="0003236D"/>
    <w:rsid w:val="00987BA3"/>
    <w:rsid w:val="00A74174"/>
    <w:rsid w:val="00C145CA"/>
    <w:rsid w:val="00F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25218-8B5A-4022-AA27-B4A51844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Najet Issa</cp:lastModifiedBy>
  <cp:revision>3</cp:revision>
  <dcterms:created xsi:type="dcterms:W3CDTF">2013-07-28T01:10:00Z</dcterms:created>
  <dcterms:modified xsi:type="dcterms:W3CDTF">2013-08-08T20:09:00Z</dcterms:modified>
</cp:coreProperties>
</file>