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591" w:rsidRPr="006A3591" w:rsidRDefault="006A3591" w:rsidP="006A3591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  <w:r w:rsidRPr="006A3591">
        <w:rPr>
          <w:rFonts w:asciiTheme="minorHAnsi" w:hAnsiTheme="minorHAnsi"/>
          <w:sz w:val="22"/>
          <w:szCs w:val="22"/>
        </w:rPr>
        <w:t xml:space="preserve">São Paulo </w:t>
      </w:r>
    </w:p>
    <w:p w:rsidR="006A3591" w:rsidRPr="006A3591" w:rsidRDefault="006A3591" w:rsidP="006A3591">
      <w:pPr>
        <w:rPr>
          <w:rFonts w:asciiTheme="minorHAnsi" w:hAnsiTheme="minorHAnsi"/>
          <w:sz w:val="22"/>
          <w:szCs w:val="22"/>
        </w:rPr>
      </w:pPr>
      <w:r w:rsidRPr="006A3591">
        <w:rPr>
          <w:rFonts w:asciiTheme="minorHAnsi" w:hAnsiTheme="minorHAnsi"/>
          <w:sz w:val="22"/>
          <w:szCs w:val="22"/>
        </w:rPr>
        <w:br/>
      </w:r>
    </w:p>
    <w:tbl>
      <w:tblPr>
        <w:tblStyle w:val="Tabelacomgrade"/>
        <w:tblW w:w="0" w:type="auto"/>
        <w:tblInd w:w="288" w:type="dxa"/>
        <w:tblLayout w:type="fixed"/>
        <w:tblLook w:val="01E0" w:firstRow="1" w:lastRow="1" w:firstColumn="1" w:lastColumn="1" w:noHBand="0" w:noVBand="0"/>
      </w:tblPr>
      <w:tblGrid>
        <w:gridCol w:w="720"/>
        <w:gridCol w:w="2160"/>
        <w:gridCol w:w="720"/>
        <w:gridCol w:w="2160"/>
        <w:gridCol w:w="720"/>
        <w:gridCol w:w="2160"/>
      </w:tblGrid>
      <w:tr w:rsidR="006A3591" w:rsidRPr="00467F02" w:rsidTr="006A3591">
        <w:trPr>
          <w:cantSplit/>
          <w:trHeight w:val="1134"/>
        </w:trPr>
        <w:tc>
          <w:tcPr>
            <w:tcW w:w="720" w:type="dxa"/>
            <w:shd w:val="clear" w:color="auto" w:fill="auto"/>
            <w:textDirection w:val="btLr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Antes de 1990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Grandes extensões desabitadas, praças e largos.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De 1900 a 1910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A riqueza do café se reflete nas novas avenidas e mansões.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De 1910 a 1920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A cidade ganha um ar parisiense com seus parques e alamedas.</w:t>
            </w:r>
          </w:p>
        </w:tc>
      </w:tr>
      <w:tr w:rsidR="006A3591" w:rsidRPr="00467F02" w:rsidTr="006A3591">
        <w:trPr>
          <w:cantSplit/>
          <w:trHeight w:val="1134"/>
        </w:trPr>
        <w:tc>
          <w:tcPr>
            <w:tcW w:w="720" w:type="dxa"/>
            <w:shd w:val="clear" w:color="auto" w:fill="auto"/>
            <w:textDirection w:val="btLr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De 1920 a 1930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 xml:space="preserve">A elegante </w:t>
            </w:r>
            <w:r w:rsidR="002B0A94">
              <w:rPr>
                <w:rFonts w:asciiTheme="minorHAnsi" w:hAnsiTheme="minorHAnsi"/>
                <w:sz w:val="20"/>
                <w:szCs w:val="20"/>
              </w:rPr>
              <w:t>Paulice</w:t>
            </w:r>
            <w:r w:rsidRPr="00467F02">
              <w:rPr>
                <w:rFonts w:asciiTheme="minorHAnsi" w:hAnsiTheme="minorHAnsi"/>
                <w:sz w:val="20"/>
                <w:szCs w:val="20"/>
              </w:rPr>
              <w:t>ia vive um tempo de conflitos e criatividade.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De 1930 a 1940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O centro se expande e fervilha com a industrialização.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De 1940 a 1950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Da vida em família à ocupação dos diversos espaços urbanos.</w:t>
            </w:r>
          </w:p>
        </w:tc>
      </w:tr>
      <w:tr w:rsidR="006A3591" w:rsidRPr="00467F02" w:rsidTr="006A3591">
        <w:trPr>
          <w:cantSplit/>
          <w:trHeight w:val="1134"/>
        </w:trPr>
        <w:tc>
          <w:tcPr>
            <w:tcW w:w="720" w:type="dxa"/>
            <w:shd w:val="clear" w:color="auto" w:fill="auto"/>
            <w:textDirection w:val="btLr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De 1950 a 1960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 xml:space="preserve">Entre o trânsito louco e as noites boêmias, a metrópole brilha. 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De 1960 a 1970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Degradação da paisagem e começo da corrida imobiliária</w:t>
            </w:r>
            <w:r w:rsidR="002B0A94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De 1960 até hoje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Vár</w:t>
            </w:r>
            <w:r w:rsidR="002B0A94">
              <w:rPr>
                <w:rFonts w:asciiTheme="minorHAnsi" w:hAnsiTheme="minorHAnsi"/>
                <w:sz w:val="20"/>
                <w:szCs w:val="20"/>
              </w:rPr>
              <w:t>ios acontecimentos marcantes e c</w:t>
            </w:r>
            <w:r w:rsidRPr="00467F02">
              <w:rPr>
                <w:rFonts w:asciiTheme="minorHAnsi" w:hAnsiTheme="minorHAnsi"/>
                <w:sz w:val="20"/>
                <w:szCs w:val="20"/>
              </w:rPr>
              <w:t>rescimento</w:t>
            </w:r>
            <w:r w:rsidR="002B0A94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6A3591" w:rsidRPr="00467F02" w:rsidTr="006A3591">
        <w:tc>
          <w:tcPr>
            <w:tcW w:w="8640" w:type="dxa"/>
            <w:gridSpan w:val="6"/>
            <w:shd w:val="clear" w:color="auto" w:fill="auto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Passado/Presente</w:t>
            </w:r>
          </w:p>
        </w:tc>
      </w:tr>
      <w:tr w:rsidR="006A3591" w:rsidRPr="00467F02" w:rsidTr="00467F02">
        <w:trPr>
          <w:cantSplit/>
          <w:trHeight w:val="1310"/>
        </w:trPr>
        <w:tc>
          <w:tcPr>
            <w:tcW w:w="720" w:type="dxa"/>
            <w:shd w:val="clear" w:color="auto" w:fill="auto"/>
            <w:textDirection w:val="btLr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Praça do Patriarca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De um quarteirão arrasado surgiu um marco do centro</w:t>
            </w:r>
            <w:r w:rsidR="002B0A94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Vale do Anhangabaú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Uma região da cidade que ganhou com o tempo</w:t>
            </w:r>
            <w:r w:rsidR="002B0A94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Praça da Sé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O ponto Zero de São Paulo e suas mutações de 200 anos</w:t>
            </w:r>
            <w:r w:rsidR="002B530B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6A3591" w:rsidRPr="00467F02" w:rsidTr="006A3591">
        <w:trPr>
          <w:cantSplit/>
          <w:trHeight w:val="1134"/>
        </w:trPr>
        <w:tc>
          <w:tcPr>
            <w:tcW w:w="720" w:type="dxa"/>
            <w:shd w:val="clear" w:color="auto" w:fill="auto"/>
            <w:textDirection w:val="btLr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Edifício Martinelli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O pai dos arranha-céus paulistanos chega ao novo século renovado</w:t>
            </w:r>
            <w:r w:rsidR="002B0A94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Estação da Luz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“Sala de visitas” da cidade e motor do desenvolvimento</w:t>
            </w:r>
            <w:r w:rsidR="002B0A94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Avenida Paulista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6A3591" w:rsidRPr="00467F02" w:rsidRDefault="006A3591" w:rsidP="006A3591">
            <w:pPr>
              <w:rPr>
                <w:rFonts w:asciiTheme="minorHAnsi" w:hAnsiTheme="minorHAnsi"/>
                <w:sz w:val="20"/>
                <w:szCs w:val="20"/>
              </w:rPr>
            </w:pPr>
            <w:r w:rsidRPr="00467F02">
              <w:rPr>
                <w:rFonts w:asciiTheme="minorHAnsi" w:hAnsiTheme="minorHAnsi"/>
                <w:sz w:val="20"/>
                <w:szCs w:val="20"/>
              </w:rPr>
              <w:t>De bucólica área residencial a símbolo da metrópole.</w:t>
            </w:r>
          </w:p>
        </w:tc>
      </w:tr>
    </w:tbl>
    <w:p w:rsidR="006A3591" w:rsidRPr="006A3591" w:rsidRDefault="006A3591" w:rsidP="006A3591">
      <w:pPr>
        <w:rPr>
          <w:rFonts w:asciiTheme="minorHAnsi" w:hAnsiTheme="minorHAnsi"/>
          <w:sz w:val="22"/>
          <w:szCs w:val="22"/>
        </w:rPr>
      </w:pPr>
    </w:p>
    <w:p w:rsidR="006A33DB" w:rsidRDefault="002E2015" w:rsidP="006A359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:rsidR="002E2015" w:rsidRDefault="002E2015" w:rsidP="006A3591">
      <w:pPr>
        <w:rPr>
          <w:rFonts w:asciiTheme="minorHAnsi" w:hAnsiTheme="minorHAnsi"/>
          <w:sz w:val="22"/>
          <w:szCs w:val="22"/>
        </w:rPr>
      </w:pPr>
    </w:p>
    <w:p w:rsidR="002E2015" w:rsidRDefault="002E2015" w:rsidP="006A3591">
      <w:pPr>
        <w:rPr>
          <w:rFonts w:asciiTheme="minorHAnsi" w:hAnsiTheme="minorHAnsi"/>
          <w:sz w:val="22"/>
          <w:szCs w:val="22"/>
        </w:rPr>
      </w:pPr>
    </w:p>
    <w:p w:rsidR="002E2015" w:rsidRDefault="002E2015" w:rsidP="006A3591">
      <w:pPr>
        <w:rPr>
          <w:rFonts w:asciiTheme="minorHAnsi" w:hAnsiTheme="minorHAnsi"/>
          <w:sz w:val="22"/>
          <w:szCs w:val="22"/>
        </w:rPr>
      </w:pPr>
    </w:p>
    <w:p w:rsidR="002E2015" w:rsidRDefault="002E2015" w:rsidP="006A3591">
      <w:pPr>
        <w:rPr>
          <w:rFonts w:asciiTheme="minorHAnsi" w:hAnsiTheme="minorHAnsi"/>
          <w:sz w:val="22"/>
          <w:szCs w:val="22"/>
        </w:rPr>
      </w:pPr>
    </w:p>
    <w:p w:rsidR="002E2015" w:rsidRDefault="002E2015" w:rsidP="006A3591">
      <w:pPr>
        <w:rPr>
          <w:rFonts w:asciiTheme="minorHAnsi" w:hAnsiTheme="minorHAnsi"/>
          <w:sz w:val="22"/>
          <w:szCs w:val="22"/>
        </w:rPr>
      </w:pPr>
    </w:p>
    <w:p w:rsidR="002E2015" w:rsidRDefault="002E2015" w:rsidP="006A3591">
      <w:pPr>
        <w:rPr>
          <w:rFonts w:asciiTheme="minorHAnsi" w:hAnsiTheme="minorHAnsi"/>
          <w:sz w:val="22"/>
          <w:szCs w:val="22"/>
        </w:rPr>
      </w:pPr>
    </w:p>
    <w:p w:rsidR="002E2015" w:rsidRPr="006A3591" w:rsidRDefault="002E2015" w:rsidP="006A3591">
      <w:pPr>
        <w:rPr>
          <w:rFonts w:asciiTheme="minorHAnsi" w:hAnsiTheme="minorHAnsi"/>
          <w:sz w:val="22"/>
          <w:szCs w:val="22"/>
        </w:rPr>
      </w:pPr>
    </w:p>
    <w:sectPr w:rsidR="002E2015" w:rsidRPr="006A3591" w:rsidSect="006A3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91"/>
    <w:rsid w:val="000C3732"/>
    <w:rsid w:val="000E4231"/>
    <w:rsid w:val="002B0A94"/>
    <w:rsid w:val="002B0F12"/>
    <w:rsid w:val="002B530B"/>
    <w:rsid w:val="002E2015"/>
    <w:rsid w:val="0044015D"/>
    <w:rsid w:val="0046441B"/>
    <w:rsid w:val="00467F02"/>
    <w:rsid w:val="0059130D"/>
    <w:rsid w:val="006A33DB"/>
    <w:rsid w:val="006A3591"/>
    <w:rsid w:val="007316CD"/>
    <w:rsid w:val="00FE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9585F9-6E94-4F92-87E5-7811C3B1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5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rsid w:val="0059130D"/>
    <w:pPr>
      <w:spacing w:after="200" w:line="276" w:lineRule="auto"/>
    </w:pPr>
    <w:rPr>
      <w:rFonts w:asciiTheme="minorHAnsi" w:eastAsiaTheme="minorHAnsi" w:hAnsiTheme="minorHAnsi" w:cstheme="minorBidi"/>
      <w:b/>
      <w:color w:val="31849B" w:themeColor="accent5" w:themeShade="BF"/>
      <w:sz w:val="22"/>
      <w:szCs w:val="22"/>
      <w:lang w:eastAsia="en-US"/>
    </w:rPr>
  </w:style>
  <w:style w:type="paragraph" w:customStyle="1" w:styleId="Texto">
    <w:name w:val="Texto"/>
    <w:basedOn w:val="Normal"/>
    <w:rsid w:val="006A3591"/>
    <w:pPr>
      <w:spacing w:before="60" w:after="120"/>
      <w:ind w:left="1134"/>
      <w:jc w:val="both"/>
    </w:pPr>
    <w:rPr>
      <w:sz w:val="20"/>
      <w:szCs w:val="20"/>
    </w:rPr>
  </w:style>
  <w:style w:type="table" w:styleId="Tabelacomgrade">
    <w:name w:val="Table Grid"/>
    <w:basedOn w:val="Tabelanormal"/>
    <w:rsid w:val="006A35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Najet Iskandar</dc:creator>
  <cp:lastModifiedBy>Najet Issa</cp:lastModifiedBy>
  <cp:revision>2</cp:revision>
  <dcterms:created xsi:type="dcterms:W3CDTF">2013-07-28T01:07:00Z</dcterms:created>
  <dcterms:modified xsi:type="dcterms:W3CDTF">2013-07-28T01:07:00Z</dcterms:modified>
</cp:coreProperties>
</file>