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GUÍA DE USUARIO  |  DEMO SINTÉTICA</w:t>
      </w:r>
    </w:p>
    <w:p>
      <w:pPr>
        <w:pStyle w:val="Title"/>
      </w:pPr>
      <w:r>
        <w:t>Cómo enviar un correo en Correo Demo</w:t>
      </w:r>
    </w:p>
    <w:p>
      <w:r>
        <w:t>Documento por validar. Las instrucciones y señalizaciones requieren revisión humana antes de su uso operativo.</w:t>
      </w:r>
    </w:p>
    <w:p>
      <w:pPr>
        <w:pStyle w:val="Heading1"/>
      </w:pPr>
      <w:r>
        <w:t>Objetivo</w:t>
      </w:r>
    </w:p>
    <w:p>
      <w:r>
        <w:t>Enviar un mensaje mediante la interfaz ficticia Correo Demo.</w:t>
      </w:r>
    </w:p>
    <w:p>
      <w:pPr>
        <w:pStyle w:val="Heading1"/>
      </w:pPr>
      <w:r>
        <w:t>Antes de comenzar</w:t>
      </w:r>
    </w:p>
    <w:p>
      <w:r>
        <w:t>Tener una sesión iniciada en la plataforma y permisos para enviar mensajes.</w:t>
      </w:r>
    </w:p>
    <w:p>
      <w:pPr>
        <w:pStyle w:val="Heading1"/>
      </w:pPr>
      <w:r>
        <w:t>Procedimiento</w:t>
      </w:r>
    </w:p>
    <w:p>
      <w:pPr>
        <w:pStyle w:val="Heading2"/>
        <w:keepNext/>
      </w:pPr>
      <w:r>
        <w:t>Paso 1. Crear un mensaje</w:t>
      </w:r>
    </w:p>
    <w:p>
      <w:pPr>
        <w:keepNext/>
      </w:pPr>
      <w:r>
        <w:t>Selecciona «Nuevo correo» para abrir el editor de mensajes.</w:t>
      </w:r>
    </w:p>
    <w:p>
      <w:pPr>
        <w:keepNext/>
      </w:pPr>
      <w:r>
        <w:t>El botón se encuentra en el panel izquierdo de la bandeja.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aso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Evidencia temporal en el video: 00:00:00.</w:t>
      </w:r>
    </w:p>
    <w:p>
      <w:pPr>
        <w:pStyle w:val="Heading2"/>
        <w:keepNext/>
      </w:pPr>
      <w:r>
        <w:t>Paso 2. Definir el destinatario</w:t>
      </w:r>
    </w:p>
    <w:p>
      <w:pPr>
        <w:keepNext/>
      </w:pPr>
      <w:r>
        <w:t>En el campo «Para», escribe el correo de la persona destinataria.</w:t>
      </w:r>
    </w:p>
    <w:p>
      <w:pPr>
        <w:keepNext/>
      </w:pPr>
      <w:r>
        <w:t>Confirma que el destinatario es correcto antes de continuar. Nunca uses datos reales en el ejemplo.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aso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Evidencia temporal en el video: 00:00:06.</w:t>
      </w:r>
    </w:p>
    <w:p>
      <w:pPr>
        <w:pStyle w:val="Heading2"/>
        <w:keepNext/>
      </w:pPr>
      <w:r>
        <w:t>Paso 3. Escribir asunto y mensaje</w:t>
      </w:r>
    </w:p>
    <w:p>
      <w:pPr>
        <w:keepNext/>
      </w:pPr>
      <w:r>
        <w:t>Completa el asunto e incorpora el contenido del mensaje.</w:t>
      </w:r>
    </w:p>
    <w:p>
      <w:pPr>
        <w:keepNext/>
      </w:pPr>
      <w:r>
        <w:t>Utiliza información autorizada; verifica redacción y archivos adjuntos, si los hay.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aso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Evidencia temporal en el video: 00:00:12.</w:t>
      </w:r>
    </w:p>
    <w:p>
      <w:pPr>
        <w:pStyle w:val="Heading2"/>
        <w:keepNext/>
      </w:pPr>
      <w:r>
        <w:t>Paso 4. Enviar el correo</w:t>
      </w:r>
    </w:p>
    <w:p>
      <w:pPr>
        <w:keepNext/>
      </w:pPr>
      <w:r>
        <w:t>Revisa destinatario, asunto y contenido; después selecciona «Enviar».</w:t>
      </w:r>
    </w:p>
    <w:p>
      <w:pPr>
        <w:keepNext/>
      </w:pPr>
      <w:r>
        <w:t>El envío es una acción irreversible en algunos sistemas. Valida la información antes de confirmarlo.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aso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Evidencia temporal en el video: 00:00:18.</w:t>
      </w:r>
    </w:p>
    <w:p>
      <w:pPr>
        <w:pStyle w:val="Heading1"/>
      </w:pPr>
      <w:r>
        <w:t>Reglas utilizadas</w:t>
      </w:r>
    </w:p>
    <w:p>
      <w:pPr>
        <w:pStyle w:val="ListBullet"/>
      </w:pPr>
      <w:r>
        <w:t>Incluir únicamente instrucciones impartidas por el instructor previamente identificado.</w:t>
      </w:r>
    </w:p>
    <w:p>
      <w:pPr>
        <w:pStyle w:val="ListBullet"/>
      </w:pPr>
      <w:r>
        <w:t>Omitir comentarios, saludos e interrupciones del flujo principal.</w:t>
      </w:r>
    </w:p>
    <w:p>
      <w:pPr>
        <w:pStyle w:val="ListBullet"/>
      </w:pPr>
      <w:r>
        <w:t>Registrar preguntas frecuentes en un apartado separado solo si el usuario lo habilita.</w:t>
      </w:r>
    </w:p>
    <w:p>
      <w:pPr>
        <w:pStyle w:val="ListBullet"/>
      </w:pPr>
      <w:r>
        <w:t>Nunca documentar contraseñas, datos personales o tokens expuestos en la grabación.</w:t>
      </w:r>
    </w:p>
    <w:p>
      <w:pPr>
        <w:pStyle w:val="Heading1"/>
      </w:pPr>
      <w:r>
        <w:t>Dudas y aclaraciones (fuera del procedimiento)</w:t>
      </w:r>
    </w:p>
    <w:p>
      <w:r>
        <w:t>Las preguntas y respuestas pueden documentarse separadamente tras su clasificación y validación. Esta sección no implica que se hayan detectado preguntas automáticamente.</w:t>
      </w:r>
    </w:p>
    <w:p>
      <w:pPr>
        <w:pStyle w:val="Heading1"/>
      </w:pPr>
      <w:r>
        <w:t>Control de calidad</w:t>
      </w:r>
    </w:p>
    <w:p>
      <w:r>
        <w:t>Revisar autoría, permisos, capturas, ubicación de marcadores y el contenido de cada instrucción. Los clics no se verifican a partir de un único fotograma.</w:t>
      </w:r>
    </w:p>
    <w:sectPr w:rsidR="00FC693F" w:rsidRPr="0006063C" w:rsidSect="00034616">
      <w:footerReference w:type="default" r:id="rId13"/>
      <w:pgSz w:w="12240" w:h="15840"/>
      <w:pgMar w:top="1094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AI PROCESS DOCUMENTATION • Revisión requerida • Fuente: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54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