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001A4D"/>
          <w:sz w:val="56"/>
          <w:szCs w:val="56"/>
        </w:rPr>
        <w:t xml:space="preserve">RiskLab USTA</w:t>
      </w:r>
    </w:p>
    <w:p>
      <w:pPr>
        <w:spacing w:after="80"/>
        <w:jc w:val="center"/>
      </w:pPr>
      <w:r>
        <w:rPr>
          <w:color w:val="3D008D"/>
          <w:sz w:val="32"/>
          <w:szCs w:val="32"/>
        </w:rPr>
        <w:t xml:space="preserve">Informe Ejecutivo del Proyecto Integrador</w:t>
      </w:r>
    </w:p>
    <w:p>
      <w:pPr>
        <w:spacing w:after="80"/>
        <w:jc w:val="center"/>
      </w:pPr>
      <w:r>
        <w:rPr>
          <w:color w:val="64748B"/>
          <w:sz w:val="24"/>
          <w:szCs w:val="24"/>
        </w:rPr>
        <w:t xml:space="preserve">Teoría del Riesgo · Python para APIs e IA</w:t>
      </w:r>
    </w:p>
    <w:p>
      <w:pPr>
        <w:spacing w:after="60"/>
        <w:jc w:val="center"/>
      </w:pPr>
      <w:r>
        <w:rPr>
          <w:b/>
          <w:bCs/>
          <w:color w:val="1E293B"/>
          <w:sz w:val="24"/>
          <w:szCs w:val="24"/>
        </w:rPr>
        <w:t xml:space="preserve">Alejandra Sepúlveda · Ingrid Umbacia Ramírez</w:t>
      </w:r>
    </w:p>
    <w:p>
      <w:pPr>
        <w:spacing w:after="600"/>
        <w:jc w:val="center"/>
      </w:pPr>
      <w:r>
        <w:rPr>
          <w:color w:val="64748B"/>
          <w:sz w:val="22"/>
          <w:szCs w:val="22"/>
        </w:rPr>
        <w:t xml:space="preserve">Universidad Santo Tomás · Facultad de Estadística · 2025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001A4D"/>
        </w:rPr>
      </w:pPr>
      <w:r>
        <w:t xml:space="preserve">1. Resumen Ejecutivo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[COMPLETAR] Descripción de alto nivel del sistema RiskLab: propósito, portafolio analizado (MSI, XOM, JNJ, PG, UL, TSM), tecnologías principales (FastAPI + SQLAlchemy + Streamlit) y resultados más relevantes obtenidos.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El presente informe documenta el diseño, implementación y resultados del sistema RiskLab USTA, un sistema integral de análisis de riesgo financiero organizado en cinco capas: ingesta y persistencia, análisis clásico de riesgo, renta fija y derivados, machine learning y infraestructura productiva.</w:t>
      </w:r>
    </w:p>
    <w:p>
      <w:pPr>
        <w:pStyle w:val="Heading1"/>
        <w:spacing w:after="120" w:before="360"/>
        <w:rPr>
          <w:b/>
          <w:bCs/>
          <w:color w:val="001A4D"/>
        </w:rPr>
      </w:pPr>
      <w:r>
        <w:t xml:space="preserve">2. Portafolio Analizado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20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Ticker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Empresa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Beta (aprox.)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Clasificación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MSI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Motorola Solutions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Tecnología / Comunicaciones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XOM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ExxonMobil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Energía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JNJ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Johnson &amp; Johnson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Salud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PG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Procter &amp; Gamble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Consumo básico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UL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Unilever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Consumo básico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TSM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TSMC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Semiconductores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</w:tr>
    </w:tbl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[COMPLETAR] Justificación de la selección del portafolio: diversificación sectorial, beta del portafolio, correlaciones entre activos y contexto macroeconómico relevante.</w:t>
      </w:r>
    </w:p>
    <w:p>
      <w:pPr>
        <w:pStyle w:val="Heading1"/>
        <w:spacing w:after="120" w:before="360"/>
        <w:rPr>
          <w:b/>
          <w:bCs/>
          <w:color w:val="001A4D"/>
        </w:rPr>
      </w:pPr>
      <w:r>
        <w:t xml:space="preserve">3. Análisis de Rendimientos y Hechos Estilizados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[COMPLETAR] Resultados del módulo de rendimientos. Incluir para al menos 2 activos: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[COMPLETAR] Rendimiento anualizado y volatilidad anualizada de cada activo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[COMPLETAR] Resultado del test de Jarque-Bera y Shapiro-Wilk (con p-valores reales del backend)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[COMPLETAR] Kurtosis promedio del portafolio y su implicación para el cálculo de VaR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Los rendimientos logarítmicos se justifican por sus propiedades de aditividad temporal y aproximación a la distribución normal para retornos pequeños, características esenciales para la construcción del VaR paramétrico y la optimización de Markowitz.</w:t>
      </w:r>
    </w:p>
    <w:p>
      <w:pPr>
        <w:pStyle w:val="Heading1"/>
        <w:spacing w:after="120" w:before="360"/>
        <w:rPr>
          <w:b/>
          <w:bCs/>
          <w:color w:val="001A4D"/>
        </w:rPr>
      </w:pPr>
      <w:r>
        <w:t xml:space="preserve">4. Modelos de Volatilidad (EWMA y GARCH)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[COMPLETAR] Resultados de la comparación de modelos ARCH/GARCH. Incluir tabla AIC/BIC real.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20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Log-Likelihood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AIC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BIC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Mejor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ARCH(1)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GARCH(1,1)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EGARCH(1,1)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GJR-GARCH(1,1)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[COMPLETAR] Pronóstico de volatilidad GARCH(1,1) a 10 días para el activo analizado. Comparación entre EWMA (λ=0.94) y GARCH: ¿cuál captura mejor el agrupamiento de volatilidad?</w:t>
      </w:r>
    </w:p>
    <w:p>
      <w:pPr>
        <w:pStyle w:val="Heading1"/>
        <w:spacing w:after="120" w:before="360"/>
        <w:rPr>
          <w:b/>
          <w:bCs/>
          <w:color w:val="001A4D"/>
        </w:rPr>
      </w:pPr>
      <w:r>
        <w:t xml:space="preserve">5. Value at Risk (VaR) y CVaR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[COMPLETAR] Resultados del cálculo de VaR al 95% para el portafolio equiponderado: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20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 Diario (%)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CVaR Diario (%)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 Anualizado (%)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Kupiec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Paramétrico (Normal)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Histórico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Montecarlo (10K sim.)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</w:tr>
    </w:tbl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[COMPLETAR] Interpretación del test de Kupiec: ¿cuál método pasa el test? Valor del estadístico LR, p-valor y conclusión. ¿Por qué el VaR histórico es preferible dado el perfil de kurtosis del portafolio?</w:t>
      </w:r>
    </w:p>
    <w:p>
      <w:pPr>
        <w:pStyle w:val="Heading1"/>
        <w:spacing w:after="120" w:before="360"/>
        <w:rPr>
          <w:b/>
          <w:bCs/>
          <w:color w:val="001A4D"/>
        </w:rPr>
      </w:pPr>
      <w:r>
        <w:t xml:space="preserve">6. CAPM y Riesgo Sistemático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[COMPLETAR] Tasa libre de riesgo obtenida automáticamente del backend: XX.XX%. Prima de mercado vs S&amp;P 500: XX.XX%.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20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Ticker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Beta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 Sistemático %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 Idiosincrático %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Ret. Esperado Anual %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Clasificación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MSI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</w:tr>
      <w:tr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XOM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JNJ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</w:tr>
      <w:tr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PG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UL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</w:tr>
      <w:tr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TSM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</w:tr>
    </w:tbl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[COMPLETAR] ¿Cuál activo tiene mayor riesgo sistemático? ¿Cuál es más defensivo? Implicaciones para la construcción del portafolio eficiente.</w:t>
      </w:r>
    </w:p>
    <w:p>
      <w:pPr>
        <w:pStyle w:val="Heading1"/>
        <w:spacing w:after="120" w:before="360"/>
        <w:rPr>
          <w:b/>
          <w:bCs/>
          <w:color w:val="001A4D"/>
        </w:rPr>
      </w:pPr>
      <w:r>
        <w:t xml:space="preserve">7. Frontera Eficiente de Markowitz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[COMPLETAR] Resultados de la optimización (10,000 portafolios simulados):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20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Portafolio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Rendimiento Anual %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Volatilidad Anual %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Sharpe Ratio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Máximo Sharpe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Mínima Varianza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Equiponderado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</w:tr>
    </w:tbl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[COMPLETAR] Pesos del portafolio de máximo Sharpe. ¿Qué activos reciben mayor/menor peso? ¿Algún activo queda con peso cero? Relación con los resultados de beta y correlación.</w:t>
      </w:r>
    </w:p>
    <w:p>
      <w:pPr>
        <w:pStyle w:val="Heading1"/>
        <w:spacing w:after="120" w:before="360"/>
        <w:rPr>
          <w:b/>
          <w:bCs/>
          <w:color w:val="001A4D"/>
        </w:rPr>
      </w:pPr>
      <w:r>
        <w:t xml:space="preserve">8. Renta Fija – Curva Nelson-Siegel y Valoración de Bonos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[COMPLETAR] Parámetros Nelson-Siegel ajustados: β₀ (nivel) = X.XXXX, β₁ (pendiente) = X.XXXX, β₂ (curvatura) = X.XXXX, λ = X.XXXX.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[COMPLETAR] Ejemplo de valoración de bono: cupón = X%, madurez = X años, YTM = X%. Precio = $X,XXX.XX. Duración Macaulay = X.XX años. Duración Modificada = X.XX. Con shock +200 pb: precio = $X,XXX.XX (Δ = X.XX%).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La duración modificada mide la sensibilidad del precio ante cambios en la tasa de interés. La convexidad corrige la estimación lineal, siendo más relevante para bonos de largo plazo.</w:t>
      </w:r>
    </w:p>
    <w:p>
      <w:pPr>
        <w:pStyle w:val="Heading1"/>
        <w:spacing w:after="120" w:before="360"/>
        <w:rPr>
          <w:b/>
          <w:bCs/>
          <w:color w:val="001A4D"/>
        </w:rPr>
      </w:pPr>
      <w:r>
        <w:t xml:space="preserve">9. Opciones Europeas – Black-Scholes y Greeks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[COMPLETAR] Ejemplo de valoración sobre [TICKER]: S = $XXX, K = $XXX, T = 0.5 años, σ = XX%. Call = $XX.XX, Put = $XX.XX.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20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Greek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Call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Δ Delta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Cambio de precio por $1 del subyacente</w:t>
            </w:r>
          </w:p>
        </w:tc>
      </w:tr>
      <w:tr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Γ Gamma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Aceleración del Delta (alto cerca del strike)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ν Vega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Cambio de precio por +1% de volatilidad implícita</w:t>
            </w:r>
          </w:p>
        </w:tc>
      </w:tr>
      <w:tr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Θ Theta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Decaimiento temporal (siempre negativo para comprador)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ρ Rho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Sensibilidad a la tasa de interés</w:t>
            </w:r>
          </w:p>
        </w:tc>
      </w:tr>
    </w:tbl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[COMPLETAR] Verificación de paridad put-call: C - P = S - K·e^(-rT). Diferencia obtenida: [COMPLETAR] ≈ 0 (confirma coherencia del modelo).</w:t>
      </w:r>
    </w:p>
    <w:p>
      <w:pPr>
        <w:pStyle w:val="Heading1"/>
        <w:spacing w:after="120" w:before="360"/>
        <w:rPr>
          <w:b/>
          <w:bCs/>
          <w:color w:val="001A4D"/>
        </w:rPr>
      </w:pPr>
      <w:r>
        <w:t xml:space="preserve">10. Stress Testing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[COMPLETAR] Resultados del stress testing bajo tres escenarios para el portafolio equiponderado: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20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 Base (%)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Pérdida Estimada (%)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Incremento (pp)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Shock de tasa +200 pb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</w:tr>
      <w:tr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Crisis de volatilidad +30%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Crash de precio -20%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[COMP]</w:t>
            </w:r>
          </w:p>
        </w:tc>
      </w:tr>
    </w:tbl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[COMPLETAR] ¿Cuál es el escenario más severo para este portafolio? ¿Cómo se compara la pérdida bajo el peor escenario con el VaR base al 95%? Implicaciones para la gestión del riesgo.</w:t>
      </w:r>
    </w:p>
    <w:p>
      <w:pPr>
        <w:pStyle w:val="Heading1"/>
        <w:spacing w:after="120" w:before="360"/>
        <w:rPr>
          <w:b/>
          <w:bCs/>
          <w:color w:val="001A4D"/>
        </w:rPr>
      </w:pPr>
      <w:r>
        <w:t xml:space="preserve">11. Componente Machine Learning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Se entrenó un modelo RandomForestClassifier (100 estimadores) con pipeline StandardScaler + RF para predecir la dirección del rendimiento (UP/DOWN) a 5 días.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[COMPLETAR] Métricas del modelo en el conjunto de prueba: Accuracy = XX.X%, Precision UP = XX.X%, Recall DOWN = XX.X%.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Features utilizadas: RSI normalizado, MACD/precio, posición en Bandas de Bollinger, ratio SMA20/SMA50, retorno 5 días, volatilidad 20 días. Se aplicó train_test_split(shuffle=False) para evitar data leakage temporal.</w:t>
      </w:r>
    </w:p>
    <w:p>
      <w:pPr>
        <w:pStyle w:val="Heading1"/>
        <w:spacing w:after="120" w:before="360"/>
        <w:rPr>
          <w:b/>
          <w:bCs/>
          <w:color w:val="001A4D"/>
        </w:rPr>
      </w:pPr>
      <w:r>
        <w:t xml:space="preserve">12. Rendimiento vs. Benchmark (S&amp;P 500)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20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Portafolio</w:t>
            </w:r>
          </w:p>
        </w:tc>
        <w:tc>
          <w:tcPr>
            <w:shd w:fill="3D008D" w:color="3D008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S&amp;P 500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Rendimiento Anualizado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Volatilidad Anual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Sharpe Ratio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Máx. Drawdown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Alpha de Jensen (anual)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Beta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1.0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Tracking Error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Information Ratio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[COMPLETAR]</w:t>
            </w:r>
          </w:p>
        </w:tc>
        <w:tc>
          <w:tcPr>
            <w:shd w:fill="F8FAFC" w:color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[COMPLETAR] Interpretación del Alpha de Jensen y del Information Ratio. ¿El portafolio añade valor sobre el benchmark ajustado por riesgo sistemático?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spacing w:after="120" w:before="360"/>
        <w:rPr>
          <w:b/>
          <w:bCs/>
          <w:color w:val="001A4D"/>
        </w:rPr>
      </w:pPr>
      <w:r>
        <w:t xml:space="preserve">13. Conclusiones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[COMPLETAR BASADO EN RESULTADOS REALES DEL BACKEND] Resuma los hallazgos más importantes que se puedan deducir directamente de los resultados obtenidos. No inferir nada que no haya sido calculado por el sistema.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[COMPLETAR] Conclusión sobre la distribución de los rendimientos y su impacto en el VaR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[COMPLETAR] Conclusión sobre el modelo GARCH ganador según AIC/BIC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[COMPLETAR] Conclusión sobre el portafolio óptimo de Markowitz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[COMPLETAR] Conclusión sobre las señales técnicas actuales del portafolio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[COMPLETAR] Conclusión sobre la validez del VaR según test de Kupiec</w:t>
      </w:r>
    </w:p>
    <w:p>
      <w:pPr>
        <w:pStyle w:val="Heading2"/>
        <w:spacing w:after="120" w:before="240"/>
        <w:rPr>
          <w:b/>
          <w:bCs/>
          <w:color w:val="001A4D"/>
        </w:rPr>
      </w:pPr>
      <w:r>
        <w:t xml:space="preserve">14. Recomendaciones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[COMPLETAR BASADO EN RESULTADOS REALES] Solo incluir recomendaciones que puedan deducirse de los resultados presentados.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[COMPLETAR] Recomendación sobre la composición del portafolio (basada en Markowitz y CAPM)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[COMPLETAR] Recomendación sobre el método de VaR a usar (basada en el test de Kupiec)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[COMPLETAR] Recomendación sobre monitoreo de volatilidad (basada en GARCH)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[COMPLETAR] Recomendación sobre gestión del riesgo ante los escenarios de stress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spacing w:after="120" w:before="360"/>
        <w:rPr>
          <w:b/>
          <w:bCs/>
          <w:color w:val="001A4D"/>
        </w:rPr>
      </w:pPr>
      <w:r>
        <w:t xml:space="preserve">Referencias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Moscote Flórez, O. (2013). Elementos de estadística en riesgo financiero. USTA.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Holton, G. A. Value at Risk: Theory and Practice. value-at-risk.net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Hull, J. C. (2022). Options, Futures, and Other Derivatives (11th ed.). Pearson.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Nelson, C. R., &amp; Siegel, A. F. (1987). Parsimonious Modeling of Yield Curves. Journal of Business, 60(4), 473-489.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Bollerslev, T. (1986). Generalized Autoregressive Conditional Heteroskedasticity. Journal of Econometrics, 31(3), 307-327.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Markowitz, H. M. (1952). Portfolio Selection. The Journal of Finance, 7(1), 77-91.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FastAPI Documentation. (2024). https://fastapi.tiangolo.com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Pydantic v2 Documentation. (2024). https://docs.pydantic.dev</w:t>
      </w:r>
    </w:p>
    <w:p>
      <w:pPr>
        <w:spacing w:after="120"/>
        <w:jc w:val="both"/>
      </w:pPr>
      <w:r>
        <w:rPr>
          <w:color w:val="1E293B"/>
          <w:sz w:val="22"/>
          <w:szCs w:val="22"/>
        </w:rPr>
        <w:t xml:space="preserve">SQLAlchemy Documentation. (2024). https://www.sqlalchemy.org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Alejandra Sepúlveda · Ingrid Umbacia Ramírez  |  USTA 2025  |  Pág.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</w:pPr>
    <w:r>
      <w:rPr>
        <w:color w:val="64748B"/>
        <w:sz w:val="18"/>
        <w:szCs w:val="18"/>
      </w:rPr>
      <w:t xml:space="preserve">RiskLab USTA – Informe Ejecutivo  |  Teoría del Riesgo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rPr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76"/>
    </w:pPr>
    <w:rPr>
      <w:rFonts w:ascii="Calibri" w:cs="Calibri" w:eastAsia="Calibri" w:hAnsi="Calibri"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2026-05-07T10:14:17.263Z</dcterms:created>
  <dcterms:modified xsi:type="dcterms:W3CDTF">2026-05-07T10:14:17.263Z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