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7DFFC">
      <w:pPr>
        <w:pStyle w:val="15"/>
        <w:rPr>
          <w:rFonts w:ascii="Arial" w:hAnsi="Arial" w:cs="Arial"/>
          <w:b/>
          <w:bCs/>
          <w:sz w:val="20"/>
          <w:szCs w:val="20"/>
        </w:rPr>
      </w:pPr>
      <w:r>
        <w:rPr>
          <w:rFonts w:ascii="Arial" w:hAnsi="Arial" w:cs="Arial"/>
          <w:b/>
          <w:bCs/>
          <w:color w:val="343434"/>
          <w:sz w:val="20"/>
          <w:szCs w:val="20"/>
        </w:rPr>
        <w:t>“</w:t>
      </w:r>
      <w:r>
        <w:rPr>
          <w:rFonts w:ascii="Arial" w:hAnsi="Arial" w:cs="Arial"/>
          <w:b/>
          <w:bCs/>
          <w:sz w:val="20"/>
          <w:szCs w:val="20"/>
        </w:rPr>
        <w:t>Año de la esperanza y el fortalecimiento de la democracia</w:t>
      </w:r>
      <w:r>
        <w:rPr>
          <w:rFonts w:ascii="Arial" w:hAnsi="Arial" w:cs="Arial"/>
          <w:b/>
          <w:bCs/>
          <w:color w:val="343434"/>
          <w:sz w:val="20"/>
          <w:szCs w:val="20"/>
        </w:rPr>
        <w:t>”</w:t>
      </w:r>
    </w:p>
    <w:p w14:paraId="0B7870CF">
      <w:pPr>
        <w:rPr>
          <w:b/>
          <w:color w:val="222222"/>
          <w:sz w:val="20"/>
        </w:rPr>
      </w:pPr>
      <w:r>
        <w:rPr>
          <w:b/>
          <w:color w:val="222222"/>
          <w:sz w:val="20"/>
        </w:rPr>
        <w:t xml:space="preserve"> </w:t>
      </w:r>
      <w:r>
        <w:rPr>
          <w:b/>
          <w:color w:val="222222"/>
          <w:sz w:val="20"/>
        </w:rPr>
        <w:tab/>
      </w:r>
      <w:r>
        <w:rPr>
          <w:b/>
          <w:color w:val="222222"/>
          <w:sz w:val="20"/>
        </w:rPr>
        <w:t xml:space="preserve"> </w:t>
      </w:r>
      <w:r>
        <w:rPr>
          <w:b/>
          <w:color w:val="222222"/>
          <w:sz w:val="20"/>
        </w:rPr>
        <w:tab/>
      </w:r>
      <w:r>
        <w:rPr>
          <w:b/>
          <w:color w:val="222222"/>
          <w:sz w:val="20"/>
        </w:rPr>
        <w:t xml:space="preserve"> </w:t>
      </w:r>
      <w:r>
        <w:rPr>
          <w:b/>
          <w:color w:val="222222"/>
          <w:sz w:val="20"/>
        </w:rPr>
        <w:tab/>
      </w:r>
      <w:r>
        <w:rPr>
          <w:b/>
          <w:color w:val="222222"/>
          <w:sz w:val="20"/>
        </w:rPr>
        <w:t xml:space="preserve"> </w:t>
      </w:r>
      <w:r>
        <w:rPr>
          <w:b/>
          <w:color w:val="222222"/>
          <w:sz w:val="20"/>
        </w:rPr>
        <w:tab/>
      </w:r>
      <w:r>
        <w:rPr>
          <w:b/>
          <w:color w:val="222222"/>
          <w:sz w:val="20"/>
        </w:rPr>
        <w:t xml:space="preserve"> </w:t>
      </w:r>
    </w:p>
    <w:p w14:paraId="09DF1175">
      <w:pPr>
        <w:rPr>
          <w:b/>
          <w:color w:val="222222"/>
          <w:sz w:val="20"/>
        </w:rPr>
      </w:pPr>
    </w:p>
    <w:p w14:paraId="10003E1A"/>
    <w:p w14:paraId="268C79C3">
      <w:pPr>
        <w:pStyle w:val="13"/>
        <w:rPr>
          <w:rFonts w:ascii="Arial" w:hAnsi="Arial" w:cs="Arial"/>
          <w:sz w:val="18"/>
          <w:szCs w:val="18"/>
          <w:u w:val="single"/>
        </w:rPr>
      </w:pPr>
    </w:p>
    <w:p w14:paraId="7627E908">
      <w:pPr>
        <w:pStyle w:val="13"/>
        <w:jc w:val="center"/>
        <w:rPr>
          <w:rFonts w:ascii="Arial" w:hAnsi="Arial" w:cs="Arial"/>
          <w:b/>
          <w:bCs/>
          <w:sz w:val="24"/>
          <w:szCs w:val="24"/>
        </w:rPr>
      </w:pPr>
      <w:r>
        <w:rPr>
          <w:rFonts w:ascii="Arial" w:hAnsi="Arial" w:cs="Arial"/>
          <w:b/>
          <w:bCs/>
          <w:sz w:val="24"/>
          <w:szCs w:val="24"/>
        </w:rPr>
        <w:t>ENSAYO ACADÉMICO</w:t>
      </w:r>
    </w:p>
    <w:p w14:paraId="3CBB5B7C">
      <w:pPr>
        <w:pStyle w:val="13"/>
        <w:jc w:val="center"/>
        <w:rPr>
          <w:rFonts w:ascii="Arial" w:hAnsi="Arial" w:cs="Arial"/>
          <w:b/>
          <w:bCs/>
          <w:sz w:val="24"/>
          <w:szCs w:val="24"/>
        </w:rPr>
      </w:pPr>
    </w:p>
    <w:p w14:paraId="3B707989">
      <w:pPr>
        <w:pStyle w:val="13"/>
        <w:jc w:val="center"/>
        <w:rPr>
          <w:rFonts w:ascii="Arial" w:hAnsi="Arial" w:cs="Arial"/>
          <w:b/>
          <w:bCs/>
          <w:sz w:val="24"/>
          <w:szCs w:val="24"/>
        </w:rPr>
      </w:pPr>
    </w:p>
    <w:p w14:paraId="43E21B06">
      <w:pPr>
        <w:pStyle w:val="13"/>
        <w:rPr>
          <w:rFonts w:ascii="Arial" w:hAnsi="Arial" w:cs="Arial"/>
          <w:b/>
          <w:bCs/>
          <w:sz w:val="24"/>
          <w:szCs w:val="24"/>
        </w:rPr>
      </w:pPr>
    </w:p>
    <w:p w14:paraId="5955E0BD">
      <w:pPr>
        <w:pStyle w:val="13"/>
        <w:jc w:val="center"/>
        <w:rPr>
          <w:rFonts w:ascii="Arial" w:hAnsi="Arial" w:cs="Arial"/>
          <w:b/>
          <w:bCs/>
          <w:sz w:val="24"/>
          <w:szCs w:val="24"/>
        </w:rPr>
      </w:pPr>
      <w:r>
        <w:rPr>
          <w:rFonts w:ascii="Arial" w:hAnsi="Arial" w:cs="Arial"/>
          <w:b/>
          <w:bCs/>
          <w:sz w:val="24"/>
          <w:szCs w:val="24"/>
        </w:rPr>
        <w:t>TEMA DE INVESTIGACIÓN</w:t>
      </w:r>
    </w:p>
    <w:p w14:paraId="493D6D71">
      <w:pPr>
        <w:pStyle w:val="13"/>
        <w:jc w:val="center"/>
        <w:rPr>
          <w:rFonts w:ascii="Arial" w:hAnsi="Arial" w:cs="Arial"/>
          <w:sz w:val="24"/>
          <w:szCs w:val="24"/>
        </w:rPr>
      </w:pPr>
    </w:p>
    <w:p w14:paraId="0D064024">
      <w:pPr>
        <w:pStyle w:val="13"/>
        <w:jc w:val="center"/>
        <w:rPr>
          <w:rFonts w:ascii="Arial" w:hAnsi="Arial" w:cs="Arial"/>
          <w:sz w:val="24"/>
          <w:szCs w:val="24"/>
        </w:rPr>
      </w:pPr>
    </w:p>
    <w:p w14:paraId="6C48F2A0">
      <w:pPr>
        <w:pStyle w:val="13"/>
        <w:jc w:val="center"/>
        <w:rPr>
          <w:rFonts w:ascii="Arial" w:hAnsi="Arial" w:cs="Arial"/>
          <w:b/>
          <w:bCs/>
          <w:lang w:val="es-PE"/>
        </w:rPr>
      </w:pPr>
      <w:r>
        <w:rPr>
          <w:rFonts w:ascii="Arial" w:hAnsi="Arial" w:cs="Arial"/>
          <w:b/>
          <w:bCs/>
          <w:lang w:val="es-PE"/>
        </w:rPr>
        <w:t>“</w:t>
      </w:r>
      <w:r>
        <w:rPr>
          <w:rFonts w:hint="default" w:ascii="Arial" w:hAnsi="Arial" w:cs="Arial"/>
          <w:b/>
          <w:bCs/>
          <w:lang w:val="es-PE"/>
        </w:rPr>
        <w:t xml:space="preserve"> Innovación en la gestión de empresas de servicios múltiples comunales para la sostenibilidad minera en</w:t>
      </w:r>
      <w:r>
        <w:rPr>
          <w:rFonts w:hint="default" w:ascii="Arial" w:hAnsi="Arial" w:cs="Arial"/>
          <w:b/>
          <w:bCs/>
          <w:lang w:val="es-ES"/>
        </w:rPr>
        <w:t xml:space="preserve"> el</w:t>
      </w:r>
      <w:r>
        <w:rPr>
          <w:rFonts w:hint="default" w:ascii="Arial" w:hAnsi="Arial" w:cs="Arial"/>
          <w:b/>
          <w:bCs/>
          <w:lang w:val="es-PE"/>
        </w:rPr>
        <w:t xml:space="preserve"> </w:t>
      </w:r>
      <w:r>
        <w:rPr>
          <w:rFonts w:hint="default" w:ascii="Arial" w:hAnsi="Arial" w:cs="Arial"/>
          <w:b/>
          <w:bCs/>
          <w:lang w:val="es-ES"/>
        </w:rPr>
        <w:t>Perú</w:t>
      </w:r>
      <w:r>
        <w:rPr>
          <w:rFonts w:ascii="Arial" w:hAnsi="Arial" w:cs="Arial"/>
          <w:b/>
          <w:bCs/>
          <w:lang w:val="es-PE"/>
        </w:rPr>
        <w:t>”.</w:t>
      </w:r>
    </w:p>
    <w:p w14:paraId="16C1043D">
      <w:pPr>
        <w:pStyle w:val="13"/>
        <w:jc w:val="center"/>
        <w:rPr>
          <w:rFonts w:ascii="Arial" w:hAnsi="Arial" w:cs="Arial"/>
          <w:b/>
          <w:bCs/>
          <w:lang w:val="es-PE"/>
        </w:rPr>
      </w:pPr>
    </w:p>
    <w:p w14:paraId="08FD23B6">
      <w:pPr>
        <w:pStyle w:val="13"/>
        <w:jc w:val="center"/>
        <w:rPr>
          <w:rFonts w:ascii="Arial" w:hAnsi="Arial" w:cs="Arial"/>
          <w:lang w:val="es-PE"/>
        </w:rPr>
      </w:pPr>
    </w:p>
    <w:p w14:paraId="7530F4A8">
      <w:pPr>
        <w:pStyle w:val="13"/>
        <w:jc w:val="center"/>
        <w:rPr>
          <w:rFonts w:ascii="Arial" w:hAnsi="Arial" w:cs="Arial"/>
          <w:lang w:val="es-PE"/>
        </w:rPr>
      </w:pPr>
    </w:p>
    <w:p w14:paraId="3159F854">
      <w:pPr>
        <w:pStyle w:val="13"/>
        <w:jc w:val="center"/>
        <w:rPr>
          <w:rFonts w:ascii="Arial" w:hAnsi="Arial" w:cs="Arial"/>
          <w:lang w:val="es-PE"/>
        </w:rPr>
      </w:pPr>
    </w:p>
    <w:p w14:paraId="6C43ED48">
      <w:pPr>
        <w:pStyle w:val="13"/>
        <w:jc w:val="center"/>
        <w:rPr>
          <w:rFonts w:ascii="Arial" w:hAnsi="Arial" w:cs="Arial"/>
          <w:lang w:val="es-PE"/>
        </w:rPr>
      </w:pPr>
      <w:r>
        <w:rPr>
          <w:rFonts w:ascii="Arial" w:hAnsi="Arial" w:cs="Arial"/>
          <w:lang w:val="es-PE"/>
        </w:rPr>
        <w:t>Elaborado por:</w:t>
      </w:r>
    </w:p>
    <w:p w14:paraId="562631CA">
      <w:pPr>
        <w:pStyle w:val="13"/>
        <w:jc w:val="center"/>
        <w:rPr>
          <w:rFonts w:ascii="Arial" w:hAnsi="Arial" w:cs="Arial"/>
          <w:lang w:val="es-PE"/>
        </w:rPr>
      </w:pPr>
    </w:p>
    <w:p w14:paraId="1F213E32">
      <w:pPr>
        <w:pStyle w:val="13"/>
        <w:jc w:val="center"/>
        <w:rPr>
          <w:rFonts w:ascii="Arial" w:hAnsi="Arial" w:cs="Arial"/>
          <w:lang w:val="es-PE"/>
        </w:rPr>
      </w:pPr>
    </w:p>
    <w:p w14:paraId="2E8FA107">
      <w:pPr>
        <w:pStyle w:val="13"/>
        <w:jc w:val="center"/>
        <w:rPr>
          <w:rFonts w:ascii="Arial" w:hAnsi="Arial" w:cs="Arial"/>
          <w:lang w:val="es-PE"/>
        </w:rPr>
      </w:pPr>
    </w:p>
    <w:p w14:paraId="0003BBD3">
      <w:pPr>
        <w:pStyle w:val="13"/>
        <w:jc w:val="center"/>
        <w:rPr>
          <w:rFonts w:ascii="Arial" w:hAnsi="Arial" w:cs="Arial"/>
          <w:lang w:val="es-PE"/>
        </w:rPr>
      </w:pPr>
    </w:p>
    <w:p w14:paraId="5D613910">
      <w:pPr>
        <w:pStyle w:val="13"/>
        <w:jc w:val="center"/>
        <w:rPr>
          <w:rFonts w:hint="default" w:ascii="Arial" w:hAnsi="Arial" w:cs="Arial"/>
          <w:b/>
          <w:bCs/>
          <w:lang w:val="es-ES"/>
        </w:rPr>
      </w:pPr>
      <w:r>
        <w:rPr>
          <w:rFonts w:hint="default" w:ascii="Arial" w:hAnsi="Arial" w:cs="Arial"/>
          <w:b/>
          <w:bCs/>
          <w:lang w:val="es-ES"/>
        </w:rPr>
        <w:t>Marcelo Baldeón, Saúl Aníbal</w:t>
      </w:r>
    </w:p>
    <w:p w14:paraId="3AA9086F">
      <w:pPr>
        <w:pStyle w:val="13"/>
        <w:jc w:val="center"/>
        <w:rPr>
          <w:rFonts w:ascii="Arial" w:hAnsi="Arial" w:cs="Arial"/>
          <w:lang w:val="es-PE"/>
        </w:rPr>
      </w:pPr>
    </w:p>
    <w:p w14:paraId="4CA19FE6">
      <w:pPr>
        <w:pStyle w:val="13"/>
        <w:jc w:val="center"/>
        <w:rPr>
          <w:rFonts w:ascii="Arial" w:hAnsi="Arial" w:cs="Arial"/>
          <w:lang w:val="es-PE"/>
        </w:rPr>
      </w:pPr>
    </w:p>
    <w:p w14:paraId="20788E68">
      <w:pPr>
        <w:pStyle w:val="13"/>
        <w:jc w:val="center"/>
        <w:rPr>
          <w:rFonts w:ascii="Arial" w:hAnsi="Arial" w:cs="Arial"/>
          <w:lang w:val="es-PE"/>
        </w:rPr>
      </w:pPr>
    </w:p>
    <w:p w14:paraId="01B55BA0">
      <w:pPr>
        <w:pStyle w:val="13"/>
        <w:jc w:val="center"/>
        <w:rPr>
          <w:rFonts w:hint="default" w:ascii="Arial" w:hAnsi="Arial" w:cs="Arial"/>
          <w:lang w:val="es-ES"/>
        </w:rPr>
      </w:pPr>
      <w:r>
        <w:rPr>
          <w:rFonts w:ascii="Arial" w:hAnsi="Arial" w:cs="Arial"/>
          <w:lang w:val="es-PE"/>
        </w:rPr>
        <w:t xml:space="preserve">LIMA – </w:t>
      </w:r>
      <w:r>
        <w:rPr>
          <w:rFonts w:ascii="Arial" w:hAnsi="Arial" w:cs="Arial"/>
          <w:lang w:val="es-ES"/>
        </w:rPr>
        <w:t>PERÚ</w:t>
      </w:r>
    </w:p>
    <w:p w14:paraId="1CD2890F">
      <w:pPr>
        <w:pStyle w:val="13"/>
        <w:jc w:val="center"/>
        <w:rPr>
          <w:rFonts w:ascii="Arial" w:hAnsi="Arial" w:cs="Arial"/>
          <w:lang w:val="es-PE"/>
        </w:rPr>
      </w:pPr>
    </w:p>
    <w:p w14:paraId="719D7281">
      <w:pPr>
        <w:pStyle w:val="13"/>
        <w:jc w:val="center"/>
        <w:rPr>
          <w:rFonts w:ascii="Arial" w:hAnsi="Arial" w:cs="Arial"/>
          <w:lang w:val="es-PE"/>
        </w:rPr>
      </w:pPr>
    </w:p>
    <w:p w14:paraId="415A4AC0">
      <w:pPr>
        <w:pStyle w:val="13"/>
        <w:jc w:val="center"/>
        <w:rPr>
          <w:rFonts w:ascii="Arial" w:hAnsi="Arial" w:cs="Arial"/>
          <w:lang w:val="es-PE"/>
        </w:rPr>
      </w:pPr>
    </w:p>
    <w:p w14:paraId="2588BFAD">
      <w:pPr>
        <w:pStyle w:val="13"/>
        <w:jc w:val="center"/>
        <w:rPr>
          <w:rFonts w:ascii="Arial" w:hAnsi="Arial" w:cs="Arial"/>
          <w:lang w:val="es-PE"/>
        </w:rPr>
      </w:pPr>
      <w:r>
        <w:rPr>
          <w:rFonts w:hint="default" w:ascii="Arial" w:hAnsi="Arial" w:cs="Arial"/>
          <w:lang w:val="es-ES"/>
        </w:rPr>
        <w:t>20 de</w:t>
      </w:r>
      <w:r>
        <w:rPr>
          <w:rFonts w:ascii="Arial" w:hAnsi="Arial" w:cs="Arial"/>
          <w:lang w:val="es-PE"/>
        </w:rPr>
        <w:t xml:space="preserve"> </w:t>
      </w:r>
      <w:r>
        <w:rPr>
          <w:rFonts w:ascii="Arial" w:hAnsi="Arial" w:cs="Arial"/>
          <w:lang w:val="es-ES"/>
        </w:rPr>
        <w:t xml:space="preserve">agosto de </w:t>
      </w:r>
      <w:r>
        <w:rPr>
          <w:rFonts w:ascii="Arial" w:hAnsi="Arial" w:cs="Arial"/>
          <w:lang w:val="es-PE"/>
        </w:rPr>
        <w:t>2026</w:t>
      </w:r>
    </w:p>
    <w:p w14:paraId="55D5EAF0">
      <w:pPr>
        <w:pStyle w:val="13"/>
        <w:jc w:val="center"/>
        <w:rPr>
          <w:rFonts w:ascii="Arial" w:hAnsi="Arial" w:cs="Arial"/>
          <w:lang w:val="es-PE"/>
        </w:rPr>
      </w:pPr>
    </w:p>
    <w:p w14:paraId="2310AA85">
      <w:pPr>
        <w:pStyle w:val="13"/>
        <w:jc w:val="center"/>
        <w:rPr>
          <w:rFonts w:ascii="Arial" w:hAnsi="Arial" w:cs="Arial"/>
          <w:lang w:val="es-PE"/>
        </w:rPr>
      </w:pPr>
    </w:p>
    <w:p w14:paraId="7BC4FA6C">
      <w:pPr>
        <w:pStyle w:val="13"/>
        <w:jc w:val="center"/>
        <w:rPr>
          <w:rFonts w:ascii="Arial" w:hAnsi="Arial" w:cs="Arial"/>
          <w:lang w:val="es-PE"/>
        </w:rPr>
      </w:pPr>
    </w:p>
    <w:p w14:paraId="6673BF78">
      <w:pPr>
        <w:pStyle w:val="13"/>
        <w:jc w:val="center"/>
        <w:rPr>
          <w:rFonts w:ascii="Arial" w:hAnsi="Arial" w:cs="Arial"/>
          <w:lang w:val="es-PE"/>
        </w:rPr>
      </w:pPr>
    </w:p>
    <w:p w14:paraId="71F4C7E9">
      <w:pPr>
        <w:pStyle w:val="13"/>
        <w:jc w:val="center"/>
        <w:rPr>
          <w:rFonts w:ascii="Arial" w:hAnsi="Arial" w:cs="Arial"/>
          <w:lang w:val="es-PE"/>
        </w:rPr>
      </w:pPr>
    </w:p>
    <w:p w14:paraId="418681E1">
      <w:pPr>
        <w:pStyle w:val="13"/>
        <w:jc w:val="center"/>
        <w:rPr>
          <w:rFonts w:ascii="Arial" w:hAnsi="Arial" w:cs="Arial"/>
          <w:lang w:val="es-PE"/>
        </w:rPr>
      </w:pPr>
    </w:p>
    <w:p w14:paraId="636355D3">
      <w:pPr>
        <w:pStyle w:val="13"/>
        <w:jc w:val="center"/>
        <w:rPr>
          <w:rFonts w:ascii="Arial" w:hAnsi="Arial" w:cs="Arial"/>
          <w:lang w:val="es-PE"/>
        </w:rPr>
      </w:pPr>
    </w:p>
    <w:p w14:paraId="5F9F13E2">
      <w:pPr>
        <w:pStyle w:val="13"/>
        <w:jc w:val="center"/>
        <w:rPr>
          <w:rFonts w:ascii="Arial" w:hAnsi="Arial" w:cs="Arial"/>
          <w:lang w:val="es-PE"/>
        </w:rPr>
      </w:pPr>
    </w:p>
    <w:p w14:paraId="1BBC1B2D">
      <w:pPr>
        <w:pStyle w:val="13"/>
        <w:jc w:val="center"/>
        <w:rPr>
          <w:rFonts w:ascii="Arial" w:hAnsi="Arial" w:cs="Arial"/>
          <w:lang w:val="es-PE"/>
        </w:rPr>
      </w:pPr>
    </w:p>
    <w:p w14:paraId="1F3B34FB">
      <w:pPr>
        <w:pStyle w:val="13"/>
        <w:jc w:val="center"/>
        <w:rPr>
          <w:rFonts w:ascii="Arial" w:hAnsi="Arial" w:cs="Arial"/>
          <w:lang w:val="es-PE"/>
        </w:rPr>
      </w:pPr>
    </w:p>
    <w:p w14:paraId="0018106D">
      <w:pPr>
        <w:pStyle w:val="13"/>
        <w:jc w:val="center"/>
        <w:rPr>
          <w:rFonts w:ascii="Arial" w:hAnsi="Arial" w:cs="Arial"/>
          <w:lang w:val="es-PE"/>
        </w:rPr>
      </w:pPr>
    </w:p>
    <w:p w14:paraId="0A4A83B8">
      <w:pPr>
        <w:pStyle w:val="13"/>
        <w:jc w:val="center"/>
        <w:rPr>
          <w:rFonts w:ascii="Arial" w:hAnsi="Arial" w:cs="Arial"/>
          <w:lang w:val="es-PE"/>
        </w:rPr>
      </w:pPr>
    </w:p>
    <w:p w14:paraId="461472F2">
      <w:pPr>
        <w:pStyle w:val="13"/>
        <w:jc w:val="center"/>
        <w:rPr>
          <w:rFonts w:ascii="Arial" w:hAnsi="Arial" w:cs="Arial"/>
          <w:lang w:val="es-PE"/>
        </w:rPr>
      </w:pPr>
    </w:p>
    <w:p w14:paraId="72A3877D">
      <w:pPr>
        <w:pStyle w:val="13"/>
        <w:jc w:val="center"/>
        <w:rPr>
          <w:rFonts w:ascii="Arial" w:hAnsi="Arial" w:cs="Arial"/>
          <w:lang w:val="es-PE"/>
        </w:rPr>
      </w:pPr>
    </w:p>
    <w:p w14:paraId="20FECC79">
      <w:pPr>
        <w:pStyle w:val="13"/>
        <w:jc w:val="center"/>
        <w:rPr>
          <w:rFonts w:ascii="Arial" w:hAnsi="Arial" w:cs="Arial"/>
          <w:lang w:val="es-PE"/>
        </w:rPr>
      </w:pPr>
    </w:p>
    <w:p w14:paraId="46C065A3">
      <w:pPr>
        <w:pStyle w:val="13"/>
        <w:jc w:val="center"/>
        <w:rPr>
          <w:rFonts w:ascii="Arial" w:hAnsi="Arial" w:cs="Arial"/>
          <w:lang w:val="es-PE"/>
        </w:rPr>
      </w:pPr>
    </w:p>
    <w:p w14:paraId="70EF77D6">
      <w:pPr>
        <w:pStyle w:val="13"/>
        <w:jc w:val="center"/>
        <w:rPr>
          <w:rFonts w:ascii="Arial" w:hAnsi="Arial" w:cs="Arial"/>
          <w:lang w:val="es-PE"/>
        </w:rPr>
      </w:pPr>
    </w:p>
    <w:p w14:paraId="6812F2F8">
      <w:pPr>
        <w:pStyle w:val="13"/>
        <w:jc w:val="center"/>
        <w:rPr>
          <w:rFonts w:ascii="Arial" w:hAnsi="Arial" w:cs="Arial"/>
          <w:lang w:val="es-PE"/>
        </w:rPr>
      </w:pPr>
    </w:p>
    <w:p w14:paraId="2FDB1C00">
      <w:pPr>
        <w:pStyle w:val="13"/>
        <w:jc w:val="center"/>
        <w:rPr>
          <w:rFonts w:ascii="Arial" w:hAnsi="Arial" w:cs="Arial"/>
          <w:lang w:val="es-PE"/>
        </w:rPr>
      </w:pPr>
    </w:p>
    <w:p w14:paraId="0D6A6CD4">
      <w:pPr>
        <w:pStyle w:val="13"/>
        <w:jc w:val="center"/>
        <w:rPr>
          <w:rFonts w:ascii="Arial" w:hAnsi="Arial" w:cs="Arial"/>
          <w:lang w:val="es-PE"/>
        </w:rPr>
      </w:pPr>
    </w:p>
    <w:p w14:paraId="459B1254">
      <w:pPr>
        <w:pStyle w:val="13"/>
        <w:jc w:val="center"/>
        <w:rPr>
          <w:rFonts w:ascii="Arial" w:hAnsi="Arial" w:cs="Arial"/>
          <w:lang w:val="es-PE"/>
        </w:rPr>
      </w:pPr>
    </w:p>
    <w:p w14:paraId="2865BAAD">
      <w:pPr>
        <w:pStyle w:val="13"/>
        <w:jc w:val="center"/>
        <w:rPr>
          <w:rFonts w:ascii="Arial" w:hAnsi="Arial" w:cs="Arial"/>
          <w:lang w:val="es-PE"/>
        </w:rPr>
      </w:pPr>
    </w:p>
    <w:p w14:paraId="4CDE82A4">
      <w:pPr>
        <w:pStyle w:val="13"/>
        <w:jc w:val="center"/>
        <w:rPr>
          <w:rFonts w:ascii="Arial" w:hAnsi="Arial" w:cs="Arial"/>
          <w:lang w:val="es-PE"/>
        </w:rPr>
      </w:pPr>
    </w:p>
    <w:p w14:paraId="26A54D9F">
      <w:pPr>
        <w:pStyle w:val="13"/>
        <w:jc w:val="center"/>
        <w:rPr>
          <w:rFonts w:ascii="Arial" w:hAnsi="Arial" w:cs="Arial"/>
          <w:lang w:val="es-PE"/>
        </w:rPr>
      </w:pPr>
    </w:p>
    <w:p w14:paraId="38B10E34">
      <w:pPr>
        <w:pStyle w:val="13"/>
        <w:rPr>
          <w:rFonts w:ascii="Arial" w:hAnsi="Arial" w:cs="Arial"/>
          <w:b/>
          <w:bCs/>
          <w:lang w:val="es-PE"/>
        </w:rPr>
      </w:pPr>
      <w:r>
        <w:rPr>
          <w:rFonts w:ascii="Arial" w:hAnsi="Arial" w:cs="Arial"/>
          <w:b/>
          <w:bCs/>
          <w:lang w:val="es-PE"/>
        </w:rPr>
        <w:t>ÍNDICE</w:t>
      </w:r>
    </w:p>
    <w:p w14:paraId="695A8CC1">
      <w:pPr>
        <w:pStyle w:val="13"/>
        <w:rPr>
          <w:rFonts w:ascii="Arial" w:hAnsi="Arial" w:cs="Arial"/>
          <w:lang w:val="es-PE"/>
        </w:rPr>
      </w:pPr>
    </w:p>
    <w:p w14:paraId="77D659B9">
      <w:pPr>
        <w:pStyle w:val="13"/>
        <w:numPr>
          <w:ilvl w:val="0"/>
          <w:numId w:val="1"/>
        </w:numPr>
        <w:spacing w:line="360" w:lineRule="auto"/>
        <w:rPr>
          <w:rFonts w:ascii="Arial" w:hAnsi="Arial" w:cs="Arial"/>
          <w:b/>
          <w:bCs/>
          <w:lang w:val="es-PE"/>
        </w:rPr>
      </w:pPr>
      <w:r>
        <w:rPr>
          <w:rFonts w:ascii="Arial" w:hAnsi="Arial" w:cs="Arial"/>
          <w:b/>
          <w:bCs/>
          <w:lang w:val="es-PE"/>
        </w:rPr>
        <w:t>Diagnóstico Situacional</w:t>
      </w:r>
    </w:p>
    <w:p w14:paraId="3DB44FB3">
      <w:pPr>
        <w:pStyle w:val="13"/>
        <w:numPr>
          <w:ilvl w:val="0"/>
          <w:numId w:val="1"/>
        </w:numPr>
        <w:spacing w:line="360" w:lineRule="auto"/>
        <w:rPr>
          <w:rFonts w:ascii="Arial" w:hAnsi="Arial" w:cs="Arial"/>
          <w:b/>
          <w:bCs/>
        </w:rPr>
      </w:pPr>
      <w:r>
        <w:rPr>
          <w:rFonts w:ascii="Arial" w:hAnsi="Arial" w:cs="Arial"/>
          <w:b/>
          <w:bCs/>
        </w:rPr>
        <w:t>Identificación y Descripción del Problema de Estudio</w:t>
      </w:r>
    </w:p>
    <w:p w14:paraId="5616E2A2">
      <w:pPr>
        <w:pStyle w:val="13"/>
        <w:numPr>
          <w:ilvl w:val="0"/>
          <w:numId w:val="1"/>
        </w:numPr>
        <w:spacing w:line="360" w:lineRule="auto"/>
        <w:rPr>
          <w:rFonts w:ascii="Arial" w:hAnsi="Arial" w:cs="Arial"/>
          <w:b/>
          <w:bCs/>
          <w:lang w:val="es-PE"/>
        </w:rPr>
      </w:pPr>
      <w:r>
        <w:rPr>
          <w:rFonts w:ascii="Arial" w:hAnsi="Arial" w:cs="Arial"/>
          <w:b/>
          <w:bCs/>
        </w:rPr>
        <w:t>Tema de Investigación</w:t>
      </w:r>
    </w:p>
    <w:p w14:paraId="36DB4817">
      <w:pPr>
        <w:pStyle w:val="13"/>
        <w:numPr>
          <w:ilvl w:val="0"/>
          <w:numId w:val="1"/>
        </w:numPr>
        <w:spacing w:line="360" w:lineRule="auto"/>
        <w:rPr>
          <w:rFonts w:ascii="Arial" w:hAnsi="Arial" w:cs="Arial"/>
          <w:b/>
          <w:bCs/>
          <w:lang w:val="es-PE"/>
        </w:rPr>
      </w:pPr>
      <w:r>
        <w:rPr>
          <w:rFonts w:ascii="Arial" w:hAnsi="Arial" w:cs="Arial"/>
          <w:b/>
          <w:bCs/>
        </w:rPr>
        <w:t>Referencias Bibliográficas</w:t>
      </w:r>
    </w:p>
    <w:p w14:paraId="35BAE7DB">
      <w:pPr>
        <w:pStyle w:val="13"/>
        <w:spacing w:line="360" w:lineRule="auto"/>
        <w:rPr>
          <w:rFonts w:ascii="Arial" w:hAnsi="Arial" w:cs="Arial"/>
          <w:b/>
          <w:bCs/>
          <w:lang w:val="es-PE"/>
        </w:rPr>
      </w:pPr>
    </w:p>
    <w:p w14:paraId="53BE426B">
      <w:pPr>
        <w:pStyle w:val="13"/>
        <w:rPr>
          <w:rFonts w:ascii="Arial" w:hAnsi="Arial" w:cs="Arial"/>
          <w:lang w:val="es-PE"/>
        </w:rPr>
      </w:pPr>
    </w:p>
    <w:p w14:paraId="16519175">
      <w:pPr>
        <w:pStyle w:val="13"/>
        <w:rPr>
          <w:rFonts w:ascii="Arial" w:hAnsi="Arial" w:cs="Arial"/>
          <w:lang w:val="es-PE"/>
        </w:rPr>
      </w:pPr>
    </w:p>
    <w:p w14:paraId="4593DC50">
      <w:pPr>
        <w:pStyle w:val="13"/>
        <w:rPr>
          <w:rFonts w:ascii="Arial" w:hAnsi="Arial" w:cs="Arial"/>
          <w:sz w:val="24"/>
          <w:szCs w:val="24"/>
        </w:rPr>
      </w:pPr>
    </w:p>
    <w:p w14:paraId="01CB431A">
      <w:pPr>
        <w:pStyle w:val="13"/>
        <w:rPr>
          <w:rFonts w:ascii="Arial" w:hAnsi="Arial" w:cs="Arial"/>
          <w:sz w:val="24"/>
          <w:szCs w:val="24"/>
        </w:rPr>
      </w:pPr>
    </w:p>
    <w:p w14:paraId="6954796B">
      <w:pPr>
        <w:pStyle w:val="13"/>
        <w:rPr>
          <w:rFonts w:ascii="Arial" w:hAnsi="Arial" w:cs="Arial"/>
          <w:sz w:val="24"/>
          <w:szCs w:val="24"/>
        </w:rPr>
      </w:pPr>
    </w:p>
    <w:p w14:paraId="48EDE498">
      <w:pPr>
        <w:pStyle w:val="13"/>
        <w:rPr>
          <w:rFonts w:ascii="Arial" w:hAnsi="Arial" w:cs="Arial"/>
          <w:sz w:val="24"/>
          <w:szCs w:val="24"/>
        </w:rPr>
      </w:pPr>
    </w:p>
    <w:p w14:paraId="616EB3F0">
      <w:pPr>
        <w:pStyle w:val="13"/>
        <w:rPr>
          <w:rFonts w:ascii="Arial" w:hAnsi="Arial" w:cs="Arial"/>
          <w:sz w:val="24"/>
          <w:szCs w:val="24"/>
        </w:rPr>
      </w:pPr>
    </w:p>
    <w:p w14:paraId="21AE5DFA">
      <w:pPr>
        <w:pStyle w:val="13"/>
        <w:rPr>
          <w:rFonts w:ascii="Arial" w:hAnsi="Arial" w:cs="Arial"/>
          <w:sz w:val="24"/>
          <w:szCs w:val="24"/>
        </w:rPr>
      </w:pPr>
    </w:p>
    <w:p w14:paraId="077A0D96">
      <w:pPr>
        <w:pStyle w:val="13"/>
        <w:rPr>
          <w:rFonts w:ascii="Arial" w:hAnsi="Arial" w:cs="Arial"/>
          <w:sz w:val="24"/>
          <w:szCs w:val="24"/>
        </w:rPr>
      </w:pPr>
    </w:p>
    <w:p w14:paraId="077AD22C">
      <w:pPr>
        <w:pStyle w:val="13"/>
        <w:rPr>
          <w:rFonts w:ascii="Arial" w:hAnsi="Arial" w:cs="Arial"/>
          <w:sz w:val="24"/>
          <w:szCs w:val="24"/>
        </w:rPr>
      </w:pPr>
    </w:p>
    <w:p w14:paraId="1F5B284D">
      <w:pPr>
        <w:pStyle w:val="13"/>
        <w:rPr>
          <w:rFonts w:ascii="Arial" w:hAnsi="Arial" w:cs="Arial"/>
          <w:sz w:val="24"/>
          <w:szCs w:val="24"/>
        </w:rPr>
      </w:pPr>
    </w:p>
    <w:p w14:paraId="64B7D3C1">
      <w:pPr>
        <w:pStyle w:val="13"/>
        <w:rPr>
          <w:rFonts w:ascii="Arial" w:hAnsi="Arial" w:cs="Arial"/>
          <w:sz w:val="24"/>
          <w:szCs w:val="24"/>
        </w:rPr>
      </w:pPr>
    </w:p>
    <w:p w14:paraId="307F22AD">
      <w:pPr>
        <w:pStyle w:val="13"/>
        <w:rPr>
          <w:rFonts w:ascii="Arial" w:hAnsi="Arial" w:cs="Arial"/>
          <w:sz w:val="24"/>
          <w:szCs w:val="24"/>
        </w:rPr>
      </w:pPr>
    </w:p>
    <w:p w14:paraId="00C9D386">
      <w:pPr>
        <w:pStyle w:val="13"/>
        <w:rPr>
          <w:rFonts w:ascii="Arial" w:hAnsi="Arial" w:cs="Arial"/>
          <w:sz w:val="24"/>
          <w:szCs w:val="24"/>
        </w:rPr>
      </w:pPr>
    </w:p>
    <w:p w14:paraId="2D9C6F0B">
      <w:pPr>
        <w:pStyle w:val="13"/>
        <w:rPr>
          <w:rFonts w:ascii="Arial" w:hAnsi="Arial" w:cs="Arial"/>
          <w:sz w:val="24"/>
          <w:szCs w:val="24"/>
        </w:rPr>
      </w:pPr>
    </w:p>
    <w:p w14:paraId="520D4C09">
      <w:pPr>
        <w:pStyle w:val="13"/>
        <w:rPr>
          <w:rFonts w:ascii="Arial" w:hAnsi="Arial" w:cs="Arial"/>
          <w:sz w:val="24"/>
          <w:szCs w:val="24"/>
        </w:rPr>
      </w:pPr>
    </w:p>
    <w:p w14:paraId="66F721C5">
      <w:pPr>
        <w:pStyle w:val="13"/>
        <w:rPr>
          <w:rFonts w:ascii="Arial" w:hAnsi="Arial" w:cs="Arial"/>
          <w:sz w:val="24"/>
          <w:szCs w:val="24"/>
        </w:rPr>
      </w:pPr>
    </w:p>
    <w:p w14:paraId="1D6825E1">
      <w:pPr>
        <w:pStyle w:val="13"/>
        <w:rPr>
          <w:rFonts w:ascii="Arial" w:hAnsi="Arial" w:cs="Arial"/>
          <w:sz w:val="24"/>
          <w:szCs w:val="24"/>
        </w:rPr>
      </w:pPr>
    </w:p>
    <w:p w14:paraId="2D798ABD">
      <w:pPr>
        <w:pStyle w:val="13"/>
        <w:rPr>
          <w:rFonts w:ascii="Arial" w:hAnsi="Arial" w:cs="Arial"/>
          <w:sz w:val="24"/>
          <w:szCs w:val="24"/>
        </w:rPr>
      </w:pPr>
    </w:p>
    <w:p w14:paraId="033D5F54">
      <w:pPr>
        <w:pStyle w:val="13"/>
        <w:rPr>
          <w:rFonts w:ascii="Arial" w:hAnsi="Arial" w:cs="Arial"/>
          <w:sz w:val="24"/>
          <w:szCs w:val="24"/>
        </w:rPr>
      </w:pPr>
    </w:p>
    <w:p w14:paraId="6666E9C9">
      <w:pPr>
        <w:pStyle w:val="13"/>
        <w:rPr>
          <w:rFonts w:ascii="Arial" w:hAnsi="Arial" w:cs="Arial"/>
          <w:sz w:val="24"/>
          <w:szCs w:val="24"/>
        </w:rPr>
      </w:pPr>
    </w:p>
    <w:p w14:paraId="56214CE6">
      <w:pPr>
        <w:pStyle w:val="13"/>
        <w:rPr>
          <w:rFonts w:ascii="Arial" w:hAnsi="Arial" w:cs="Arial"/>
          <w:sz w:val="24"/>
          <w:szCs w:val="24"/>
        </w:rPr>
      </w:pPr>
    </w:p>
    <w:p w14:paraId="366FB8BD">
      <w:pPr>
        <w:pStyle w:val="13"/>
        <w:rPr>
          <w:rFonts w:ascii="Arial" w:hAnsi="Arial" w:cs="Arial"/>
          <w:sz w:val="24"/>
          <w:szCs w:val="24"/>
        </w:rPr>
      </w:pPr>
    </w:p>
    <w:p w14:paraId="52037473">
      <w:pPr>
        <w:pStyle w:val="13"/>
        <w:rPr>
          <w:rFonts w:ascii="Arial" w:hAnsi="Arial" w:cs="Arial"/>
          <w:sz w:val="24"/>
          <w:szCs w:val="24"/>
        </w:rPr>
      </w:pPr>
    </w:p>
    <w:p w14:paraId="77F7DF32">
      <w:pPr>
        <w:pStyle w:val="13"/>
        <w:rPr>
          <w:rFonts w:ascii="Arial" w:hAnsi="Arial" w:cs="Arial"/>
          <w:sz w:val="24"/>
          <w:szCs w:val="24"/>
        </w:rPr>
      </w:pPr>
    </w:p>
    <w:p w14:paraId="1DCDB1CD">
      <w:pPr>
        <w:pStyle w:val="13"/>
        <w:rPr>
          <w:rFonts w:ascii="Arial" w:hAnsi="Arial" w:cs="Arial"/>
          <w:sz w:val="24"/>
          <w:szCs w:val="24"/>
        </w:rPr>
      </w:pPr>
    </w:p>
    <w:p w14:paraId="27A40FA1">
      <w:pPr>
        <w:pStyle w:val="13"/>
        <w:rPr>
          <w:rFonts w:ascii="Arial" w:hAnsi="Arial" w:cs="Arial"/>
          <w:sz w:val="24"/>
          <w:szCs w:val="24"/>
        </w:rPr>
      </w:pPr>
    </w:p>
    <w:p w14:paraId="1B65614B">
      <w:pPr>
        <w:pStyle w:val="13"/>
        <w:rPr>
          <w:rFonts w:ascii="Arial" w:hAnsi="Arial" w:cs="Arial"/>
          <w:sz w:val="24"/>
          <w:szCs w:val="24"/>
        </w:rPr>
      </w:pPr>
    </w:p>
    <w:p w14:paraId="1C167210">
      <w:pPr>
        <w:pStyle w:val="13"/>
        <w:rPr>
          <w:rFonts w:ascii="Arial" w:hAnsi="Arial" w:cs="Arial"/>
          <w:sz w:val="24"/>
          <w:szCs w:val="24"/>
        </w:rPr>
      </w:pPr>
    </w:p>
    <w:p w14:paraId="36353611">
      <w:pPr>
        <w:pStyle w:val="13"/>
        <w:rPr>
          <w:rFonts w:ascii="Arial" w:hAnsi="Arial" w:cs="Arial"/>
          <w:sz w:val="24"/>
          <w:szCs w:val="24"/>
        </w:rPr>
      </w:pPr>
    </w:p>
    <w:p w14:paraId="680892C5">
      <w:pPr>
        <w:pStyle w:val="13"/>
        <w:rPr>
          <w:rFonts w:ascii="Arial" w:hAnsi="Arial" w:cs="Arial"/>
          <w:sz w:val="24"/>
          <w:szCs w:val="24"/>
        </w:rPr>
      </w:pPr>
    </w:p>
    <w:p w14:paraId="48C3FB02">
      <w:pPr>
        <w:pStyle w:val="13"/>
        <w:rPr>
          <w:rFonts w:ascii="Arial" w:hAnsi="Arial" w:cs="Arial"/>
          <w:sz w:val="24"/>
          <w:szCs w:val="24"/>
        </w:rPr>
      </w:pPr>
    </w:p>
    <w:p w14:paraId="51F8E315">
      <w:pPr>
        <w:pStyle w:val="13"/>
        <w:rPr>
          <w:rFonts w:ascii="Arial" w:hAnsi="Arial" w:cs="Arial"/>
          <w:sz w:val="24"/>
          <w:szCs w:val="24"/>
        </w:rPr>
      </w:pPr>
    </w:p>
    <w:p w14:paraId="240DA29D">
      <w:pPr>
        <w:pStyle w:val="13"/>
        <w:rPr>
          <w:rFonts w:ascii="Arial" w:hAnsi="Arial" w:cs="Arial"/>
          <w:sz w:val="24"/>
          <w:szCs w:val="24"/>
        </w:rPr>
      </w:pPr>
    </w:p>
    <w:p w14:paraId="29F7BB23">
      <w:pPr>
        <w:pStyle w:val="13"/>
        <w:rPr>
          <w:rFonts w:ascii="Arial" w:hAnsi="Arial" w:cs="Arial"/>
          <w:sz w:val="24"/>
          <w:szCs w:val="24"/>
        </w:rPr>
      </w:pPr>
    </w:p>
    <w:p w14:paraId="0DD75CEC">
      <w:pPr>
        <w:pStyle w:val="13"/>
        <w:rPr>
          <w:rFonts w:ascii="Arial" w:hAnsi="Arial" w:cs="Arial"/>
          <w:sz w:val="24"/>
          <w:szCs w:val="24"/>
        </w:rPr>
      </w:pPr>
    </w:p>
    <w:p w14:paraId="57BA2B4C">
      <w:pPr>
        <w:pStyle w:val="3"/>
        <w:keepNext w:val="0"/>
        <w:keepLines w:val="0"/>
        <w:widowControl/>
        <w:suppressLineNumbers w:val="0"/>
        <w:jc w:val="center"/>
      </w:pPr>
      <w:r>
        <w:t>Resumen</w:t>
      </w:r>
    </w:p>
    <w:p w14:paraId="59A0A4FF">
      <w:pPr>
        <w:pStyle w:val="13"/>
        <w:numPr>
          <w:ilvl w:val="0"/>
          <w:numId w:val="0"/>
        </w:numPr>
        <w:spacing w:line="360" w:lineRule="auto"/>
        <w:ind w:left="360" w:leftChars="0" w:firstLine="2818" w:firstLineChars="0"/>
        <w:jc w:val="both"/>
        <w:rPr>
          <w:rFonts w:hint="default" w:ascii="Arial" w:hAnsi="Arial" w:cs="Arial"/>
          <w:b w:val="0"/>
          <w:bCs w:val="0"/>
          <w:lang w:val="es-PE"/>
        </w:rPr>
      </w:pPr>
      <w:r>
        <w:rPr>
          <w:rFonts w:hint="default" w:ascii="Arial" w:hAnsi="Arial" w:cs="Arial"/>
          <w:b w:val="0"/>
          <w:bCs w:val="0"/>
          <w:lang w:val="es-PE"/>
        </w:rPr>
        <w:t>Este estudio analiza el impacto de las tecnologías emergentes en la sostenibilidad de empresas comunales vinculadas a la minería peruana. Se plantea que la innovación tecnológica no solo mejora la eficiencia operativa, sino que también fortalece la gobernanza comunal y la transparencia en la gestión. El trabajo propone un modelo de transformación digital gradual, que integra herramientas como inteligencia artificial, blockchain e IoT, con el fin de optimizar procesos administrativos y productivos. La investigación se desarrollará mediante un enfoque mixto, combinando encuestas, entrevistas y análisis documental. Se espera demostrar que la adopción tecnológica incrementa la competitividad y la sostenibilidad social y ambiental de estas organizaciones.</w:t>
      </w:r>
    </w:p>
    <w:p w14:paraId="6BAAC273">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1A9B11AC">
      <w:pPr>
        <w:pStyle w:val="3"/>
        <w:keepNext w:val="0"/>
        <w:keepLines w:val="0"/>
        <w:widowControl/>
        <w:suppressLineNumbers w:val="0"/>
        <w:jc w:val="center"/>
        <w:rPr>
          <w:rFonts w:hint="default" w:ascii="Arial" w:hAnsi="Arial" w:cs="Arial"/>
          <w:b w:val="0"/>
          <w:bCs w:val="0"/>
          <w:lang w:val="es-PE"/>
        </w:rPr>
      </w:pPr>
      <w:r>
        <w:t>Abstract</w:t>
      </w:r>
    </w:p>
    <w:p w14:paraId="0DE9E1E1">
      <w:pPr>
        <w:pStyle w:val="13"/>
        <w:numPr>
          <w:ilvl w:val="0"/>
          <w:numId w:val="0"/>
        </w:numPr>
        <w:spacing w:line="360" w:lineRule="auto"/>
        <w:ind w:left="360" w:leftChars="0" w:firstLine="2818" w:firstLineChars="0"/>
        <w:jc w:val="both"/>
        <w:rPr>
          <w:rFonts w:hint="default" w:ascii="Arial" w:hAnsi="Arial" w:cs="Arial"/>
          <w:b w:val="0"/>
          <w:bCs w:val="0"/>
          <w:lang w:val="es-PE"/>
        </w:rPr>
      </w:pPr>
      <w:r>
        <w:rPr>
          <w:rFonts w:hint="default" w:ascii="Arial" w:hAnsi="Arial" w:cs="Arial"/>
          <w:b w:val="0"/>
          <w:bCs w:val="0"/>
          <w:lang w:val="es-PE"/>
        </w:rPr>
        <w:t>This study analyzes the impact of emerging technologies on the sustainability of communal enterprises linked to Peruvian mining. It argues that technological innovation not only improves operational efficiency but also strengthens communal governance and management transparency. The research proposes a gradual digital transformation model, integrating tools such as artificial intelligence, blockchain, and IoT to optimize administrative and productive processes. A mixed-method approach will be applied, combining surveys, interviews, and documentary analysis. The expected outcome is to demonstrate that technological adoption increases competitiveness and enhances social and environmental sustainability in these organizations.</w:t>
      </w:r>
    </w:p>
    <w:p w14:paraId="2BE7FDE5">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39B0B6B6">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5F1BCE51">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6B144758">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26DB4B86">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74FAB630">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693E13C4">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552C7E9D">
      <w:pPr>
        <w:pStyle w:val="13"/>
        <w:numPr>
          <w:ilvl w:val="0"/>
          <w:numId w:val="0"/>
        </w:numPr>
        <w:spacing w:line="360" w:lineRule="auto"/>
        <w:ind w:left="360" w:leftChars="0" w:firstLine="2818" w:firstLineChars="0"/>
        <w:jc w:val="both"/>
        <w:rPr>
          <w:rFonts w:hint="default" w:ascii="Arial" w:hAnsi="Arial" w:cs="Arial"/>
          <w:b w:val="0"/>
          <w:bCs w:val="0"/>
          <w:lang w:val="es-PE"/>
        </w:rPr>
      </w:pPr>
    </w:p>
    <w:p w14:paraId="33078066">
      <w:pPr>
        <w:pStyle w:val="3"/>
        <w:keepNext w:val="0"/>
        <w:keepLines w:val="0"/>
        <w:widowControl/>
        <w:suppressLineNumbers w:val="0"/>
        <w:rPr>
          <w:rFonts w:hint="default" w:cs="Arial" w:asciiTheme="majorAscii" w:hAnsiTheme="majorAscii"/>
        </w:rPr>
      </w:pPr>
      <w:r>
        <w:rPr>
          <w:rFonts w:hint="default" w:cs="Arial" w:asciiTheme="majorAscii" w:hAnsiTheme="majorAscii"/>
        </w:rPr>
        <w:t>Introducción y Planteamiento del Problema</w:t>
      </w:r>
    </w:p>
    <w:p w14:paraId="3F83B60B">
      <w:pPr>
        <w:pStyle w:val="13"/>
        <w:numPr>
          <w:ilvl w:val="0"/>
          <w:numId w:val="0"/>
        </w:numPr>
        <w:spacing w:line="360" w:lineRule="auto"/>
        <w:ind w:left="360" w:leftChars="0" w:firstLine="2818" w:firstLineChars="0"/>
        <w:jc w:val="both"/>
        <w:rPr>
          <w:rFonts w:hint="default" w:cs="Arial" w:asciiTheme="majorAscii" w:hAnsiTheme="majorAscii"/>
          <w:b w:val="0"/>
          <w:bCs w:val="0"/>
          <w:lang w:val="es-PE"/>
        </w:rPr>
      </w:pPr>
      <w:r>
        <w:rPr>
          <w:rFonts w:hint="default" w:cs="Arial" w:asciiTheme="majorAscii" w:hAnsiTheme="majorAscii"/>
          <w:b w:val="0"/>
          <w:bCs w:val="0"/>
          <w:lang w:val="es-PE"/>
        </w:rPr>
        <w:t>Las empresas comunales mineras enfrentan limitaciones en gestión administrativa, baja adopción tecnológica y dependencia de contratos externos. Esto genera vulnerabilidad económica y social. La falta de innovación tecnológica limita la sostenibilidad y competitividad frente a empresas privadas.</w:t>
      </w:r>
    </w:p>
    <w:p w14:paraId="1A88EFC5">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1</w:t>
      </w:r>
      <w:r>
        <w:rPr>
          <w:rFonts w:hint="default" w:cs="Arial" w:asciiTheme="majorAscii" w:hAnsiTheme="majorAscii"/>
          <w:b/>
          <w:bCs/>
          <w:color w:val="2E75B6" w:themeColor="accent5" w:themeShade="BF"/>
          <w:lang w:val="es-ES"/>
        </w:rPr>
        <w:tab/>
        <w:t>Identificar el problema</w:t>
      </w:r>
    </w:p>
    <w:p w14:paraId="2476C074">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Se observa la realidad de las empresas comunales mineras en Pasco: baja adopción tecnológica, limitada gestión administrativa y dependencia de contratos externos. Se formula la pregunta central: ¿Cómo la innovación tecnológica puede fortalecer la sostenibilidad y la competitividad de estas empresas?</w:t>
      </w:r>
    </w:p>
    <w:p w14:paraId="116674D8">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2</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Revisar la teoría</w:t>
      </w:r>
    </w:p>
    <w:p w14:paraId="72060763">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Se analizan teorías de administración estratégica (Porter, Mintzberg, Ducker) y sostenibilidad (EIkington, triple bottom line), junto a estudios sobre transformación digital y tecnologías emergentes (IA, Blockchain, IoT, Big Data)</w:t>
      </w:r>
    </w:p>
    <w:p w14:paraId="538D4E06">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3</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Formular Hipotesis</w:t>
      </w:r>
    </w:p>
    <w:p w14:paraId="50013483">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Hipótesis Principal: la adopción de tecnologías emergentes incrementa la sostenibilidad y competitividad de las empresas comunales mineras en el Perú. Se derivan hipótesis secundarias sobre eficiencia operativa, transparencia y gobernanza digital.</w:t>
      </w:r>
    </w:p>
    <w:p w14:paraId="7C89CCE4">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4</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Diseñar el método</w:t>
      </w:r>
    </w:p>
    <w:p w14:paraId="54B62E28">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Se define un enfoque mixto (cuantitativo y cualitativo): encuestas a socios comunales, entrevistas a directivos y análisis documental de normativa y reportes técnicos. Se delimita la población (empresas comunales de Pasco) y dentro del periodo (2025-2028).</w:t>
      </w:r>
    </w:p>
    <w:p w14:paraId="2CF981EE">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5</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Recolectar datos</w:t>
      </w:r>
    </w:p>
    <w:p w14:paraId="2DBFAEBA">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Aplicación de instrumentos: cuestionarios sobre percepción tecnológica, entrevistas sobre gestión y sostenibilidad, revisión de informes. Se registran indicadores de eficiencia, transparencia y competitividad.</w:t>
      </w:r>
    </w:p>
    <w:p w14:paraId="52C5F87C">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6</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Analizar los resultados</w:t>
      </w:r>
    </w:p>
    <w:p w14:paraId="7222B7B3">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Se procesan datos con herramientas estadísticas y matrices de correlación; se contrastan hipótesis y se evalúa el impacto de la innovación tecnológica en la sostenibilidad económica, social y ambiental.</w:t>
      </w:r>
    </w:p>
    <w:p w14:paraId="6B08D1BE">
      <w:pPr>
        <w:pStyle w:val="13"/>
        <w:numPr>
          <w:ilvl w:val="0"/>
          <w:numId w:val="0"/>
        </w:numPr>
        <w:spacing w:line="360" w:lineRule="auto"/>
        <w:ind w:left="240" w:leftChars="100" w:firstLine="0" w:firstLineChars="0"/>
        <w:jc w:val="left"/>
        <w:rPr>
          <w:rFonts w:hint="default" w:cs="Arial" w:asciiTheme="majorAscii" w:hAnsiTheme="majorAscii"/>
          <w:b/>
          <w:bCs/>
          <w:color w:val="2E75B6" w:themeColor="accent5" w:themeShade="BF"/>
          <w:lang w:val="es-ES"/>
        </w:rPr>
      </w:pPr>
      <w:r>
        <w:rPr>
          <w:rFonts w:hint="default" w:cs="Arial" w:asciiTheme="majorAscii" w:hAnsiTheme="majorAscii"/>
          <w:b/>
          <w:bCs/>
          <w:color w:val="2E75B6" w:themeColor="accent5" w:themeShade="BF"/>
          <w:lang w:val="es-ES"/>
        </w:rPr>
        <w:t>7</w:t>
      </w:r>
      <w:r>
        <w:rPr>
          <w:rFonts w:hint="default" w:cs="Arial" w:asciiTheme="majorAscii" w:hAnsiTheme="majorAscii"/>
          <w:b/>
          <w:bCs/>
          <w:color w:val="2E75B6" w:themeColor="accent5" w:themeShade="BF"/>
          <w:lang w:val="es-ES"/>
        </w:rPr>
        <w:tab/>
      </w:r>
      <w:r>
        <w:rPr>
          <w:rFonts w:hint="default" w:cs="Arial" w:asciiTheme="majorAscii" w:hAnsiTheme="majorAscii"/>
          <w:b/>
          <w:bCs/>
          <w:color w:val="2E75B6" w:themeColor="accent5" w:themeShade="BF"/>
          <w:lang w:val="es-ES"/>
        </w:rPr>
        <w:t>Comunicar</w:t>
      </w:r>
    </w:p>
    <w:p w14:paraId="653555F2">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r>
        <w:rPr>
          <w:rFonts w:hint="default" w:cs="Arial" w:asciiTheme="majorAscii" w:hAnsiTheme="majorAscii"/>
          <w:b w:val="0"/>
          <w:bCs w:val="0"/>
          <w:color w:val="2E75B6" w:themeColor="accent5" w:themeShade="BF"/>
          <w:lang w:val="es-ES"/>
        </w:rPr>
        <w:t>Se elaboran conclusiones y recomendaciones: diseño del modelo de gestión digital sostenible para empresas comunales mineras. Se prepara el informe final y la publicación académica para la UNI y revistas especializadas.</w:t>
      </w:r>
    </w:p>
    <w:p w14:paraId="4B932D5C">
      <w:pPr>
        <w:pStyle w:val="13"/>
        <w:numPr>
          <w:ilvl w:val="0"/>
          <w:numId w:val="0"/>
        </w:numPr>
        <w:spacing w:line="360" w:lineRule="auto"/>
        <w:ind w:left="240" w:leftChars="100" w:firstLine="480" w:firstLineChars="0"/>
        <w:jc w:val="both"/>
        <w:rPr>
          <w:rFonts w:hint="default" w:cs="Arial" w:asciiTheme="majorAscii" w:hAnsiTheme="majorAscii"/>
          <w:b w:val="0"/>
          <w:bCs w:val="0"/>
          <w:color w:val="2E75B6" w:themeColor="accent5" w:themeShade="BF"/>
          <w:lang w:val="es-ES"/>
        </w:rPr>
      </w:pPr>
      <w:bookmarkStart w:id="0" w:name="_GoBack"/>
      <w:bookmarkEnd w:id="0"/>
    </w:p>
    <w:p w14:paraId="449EBF2A">
      <w:pPr>
        <w:pStyle w:val="3"/>
        <w:keepNext w:val="0"/>
        <w:keepLines w:val="0"/>
        <w:widowControl/>
        <w:suppressLineNumbers w:val="0"/>
        <w:rPr>
          <w:rFonts w:hint="default" w:cs="Arial" w:asciiTheme="majorAscii" w:hAnsiTheme="majorAscii"/>
        </w:rPr>
      </w:pPr>
      <w:r>
        <w:rPr>
          <w:rFonts w:hint="default" w:cs="Arial" w:asciiTheme="majorAscii" w:hAnsiTheme="majorAscii"/>
        </w:rPr>
        <w:t>Objetivos</w:t>
      </w:r>
    </w:p>
    <w:p w14:paraId="1C5ECAF0">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General:</w:t>
      </w:r>
      <w:r>
        <w:rPr>
          <w:rFonts w:hint="default" w:cs="Arial" w:asciiTheme="majorAscii" w:hAnsiTheme="majorAscii"/>
        </w:rPr>
        <w:t xml:space="preserve"> </w:t>
      </w:r>
    </w:p>
    <w:p w14:paraId="53BDC269">
      <w:pPr>
        <w:pStyle w:val="9"/>
        <w:keepNext w:val="0"/>
        <w:keepLines w:val="0"/>
        <w:widowControl/>
        <w:suppressLineNumbers w:val="0"/>
        <w:ind w:left="720"/>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Analizar el impacto de la innovación tecnológica en la sostenibilidad de empresas comunales mineras en Pasco.</w:t>
      </w:r>
    </w:p>
    <w:p w14:paraId="456F5D96">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Específicos:</w:t>
      </w:r>
    </w:p>
    <w:p w14:paraId="6BDC9B5A">
      <w:pPr>
        <w:pStyle w:val="9"/>
        <w:keepNext w:val="0"/>
        <w:keepLines w:val="0"/>
        <w:widowControl/>
        <w:suppressLineNumbers w:val="0"/>
        <w:ind w:left="720"/>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Identificar brechas tecnológicas en la gestión comunal.</w:t>
      </w:r>
    </w:p>
    <w:p w14:paraId="31F33BDF">
      <w:pPr>
        <w:pStyle w:val="9"/>
        <w:keepNext w:val="0"/>
        <w:keepLines w:val="0"/>
        <w:widowControl/>
        <w:suppressLineNumbers w:val="0"/>
        <w:ind w:left="720"/>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Evaluar la percepción de socios sobre la innovación digital.</w:t>
      </w:r>
    </w:p>
    <w:p w14:paraId="31B290FC">
      <w:pPr>
        <w:pStyle w:val="9"/>
        <w:keepNext w:val="0"/>
        <w:keepLines w:val="0"/>
        <w:widowControl/>
        <w:suppressLineNumbers w:val="0"/>
        <w:ind w:left="720"/>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Proponer un modelo de transformación digital sostenible.</w:t>
      </w:r>
    </w:p>
    <w:p w14:paraId="3BBA3D75">
      <w:pPr>
        <w:pStyle w:val="9"/>
        <w:keepNext w:val="0"/>
        <w:keepLines w:val="0"/>
        <w:widowControl/>
        <w:suppressLineNumbers w:val="0"/>
        <w:ind w:left="720"/>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Medir indicadores de competitividad y sostenibilidad tras la adopción tecnológica.</w:t>
      </w:r>
    </w:p>
    <w:p w14:paraId="10567990">
      <w:pPr>
        <w:pStyle w:val="3"/>
        <w:keepNext w:val="0"/>
        <w:keepLines w:val="0"/>
        <w:widowControl/>
        <w:suppressLineNumbers w:val="0"/>
        <w:rPr>
          <w:rFonts w:hint="default" w:cs="Arial" w:asciiTheme="majorAscii" w:hAnsiTheme="majorAscii"/>
        </w:rPr>
      </w:pPr>
      <w:r>
        <w:rPr>
          <w:rFonts w:hint="default" w:cs="Arial" w:asciiTheme="majorAscii" w:hAnsiTheme="majorAscii"/>
        </w:rPr>
        <w:t xml:space="preserve">Marco Teórico </w:t>
      </w:r>
    </w:p>
    <w:p w14:paraId="7728DD5D">
      <w:pPr>
        <w:pStyle w:val="3"/>
        <w:keepNext w:val="0"/>
        <w:keepLines w:val="0"/>
        <w:widowControl/>
        <w:suppressLineNumbers w:val="0"/>
        <w:rPr>
          <w:rFonts w:hint="default" w:cs="Arial" w:asciiTheme="majorAscii" w:hAnsiTheme="majorAscii"/>
        </w:rPr>
      </w:pPr>
      <w:r>
        <w:rPr>
          <w:rFonts w:hint="default" w:cs="Arial" w:asciiTheme="majorAscii" w:hAnsiTheme="majorAscii"/>
        </w:rPr>
        <w:t>Administración Estratégica y Gobernanza Organizacional</w:t>
      </w:r>
    </w:p>
    <w:p w14:paraId="149B68D7">
      <w:pPr>
        <w:pStyle w:val="9"/>
        <w:keepNext w:val="0"/>
        <w:keepLines w:val="0"/>
        <w:widowControl/>
        <w:suppressLineNumbers w:val="0"/>
        <w:rPr>
          <w:rFonts w:hint="default" w:cs="Arial" w:asciiTheme="majorAscii" w:hAnsiTheme="majorAscii"/>
        </w:rPr>
      </w:pPr>
      <w:r>
        <w:rPr>
          <w:rFonts w:hint="default" w:cs="Arial" w:asciiTheme="majorAscii" w:hAnsiTheme="majorAscii"/>
        </w:rPr>
        <w:t>La administración estratégica se centra en la formulación, implementación y evaluación de decisiones que permiten a una organización alcanzar sus objetivos de largo plazo. En el contexto de empresas comunales mineras, la gobernanza adquiere un rol fundamental: no solo se trata de gestionar recursos, sino de garantizar transparencia, participación de socios y sostenibilidad.</w:t>
      </w:r>
    </w:p>
    <w:p w14:paraId="00BAF61E">
      <w:pPr>
        <w:keepNext w:val="0"/>
        <w:keepLines w:val="0"/>
        <w:widowControl/>
        <w:numPr>
          <w:ilvl w:val="0"/>
          <w:numId w:val="0"/>
        </w:numPr>
        <w:suppressLineNumbers w:val="0"/>
        <w:spacing w:before="0" w:beforeAutospacing="1" w:after="0" w:afterAutospacing="1"/>
        <w:rPr>
          <w:rFonts w:hint="default" w:cs="Arial" w:asciiTheme="majorAscii" w:hAnsiTheme="majorAscii"/>
        </w:rPr>
      </w:pPr>
    </w:p>
    <w:p w14:paraId="67C5F353">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Autores clave:</w:t>
      </w:r>
      <w:r>
        <w:rPr>
          <w:rFonts w:hint="default" w:cs="Arial" w:asciiTheme="majorAscii" w:hAnsiTheme="majorAscii"/>
        </w:rPr>
        <w:t xml:space="preserve"> Porter (ventaja competitiva), Mintzberg (estrategia emergente), Drucker (gestión por objetivos).</w:t>
      </w:r>
    </w:p>
    <w:p w14:paraId="759275FF">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Aplicación:</w:t>
      </w:r>
      <w:r>
        <w:rPr>
          <w:rFonts w:hint="default" w:cs="Arial" w:asciiTheme="majorAscii" w:hAnsiTheme="majorAscii"/>
        </w:rPr>
        <w:t xml:space="preserve"> La administración estratégica en comunidades mineras debe equilibrar eficiencia económica con impacto social y ambiental.</w:t>
      </w:r>
    </w:p>
    <w:p w14:paraId="57261AAA">
      <w:pPr>
        <w:pStyle w:val="3"/>
        <w:keepNext w:val="0"/>
        <w:keepLines w:val="0"/>
        <w:widowControl/>
        <w:suppressLineNumbers w:val="0"/>
        <w:rPr>
          <w:rFonts w:hint="default" w:cs="Arial" w:asciiTheme="majorAscii" w:hAnsiTheme="majorAscii"/>
        </w:rPr>
      </w:pPr>
      <w:r>
        <w:rPr>
          <w:rFonts w:hint="default" w:cs="Arial" w:asciiTheme="majorAscii" w:hAnsiTheme="majorAscii"/>
        </w:rPr>
        <w:t>2. Tecnologías Emergentes en la Gestión Organizacional</w:t>
      </w:r>
    </w:p>
    <w:p w14:paraId="1C7F48BB">
      <w:pPr>
        <w:pStyle w:val="9"/>
        <w:keepNext w:val="0"/>
        <w:keepLines w:val="0"/>
        <w:widowControl/>
        <w:suppressLineNumbers w:val="0"/>
        <w:rPr>
          <w:rFonts w:hint="default" w:cs="Arial" w:asciiTheme="majorAscii" w:hAnsiTheme="majorAscii"/>
        </w:rPr>
      </w:pPr>
      <w:r>
        <w:rPr>
          <w:rFonts w:hint="default" w:cs="Arial" w:asciiTheme="majorAscii" w:hAnsiTheme="majorAscii"/>
        </w:rPr>
        <w:t>Las tecnologías emergentes transforman la manera en que las organizaciones administran sus procesos.</w:t>
      </w:r>
    </w:p>
    <w:p w14:paraId="69B03AB8">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Inteligencia Artificial (IA):</w:t>
      </w:r>
      <w:r>
        <w:rPr>
          <w:rFonts w:hint="default" w:cs="Arial" w:asciiTheme="majorAscii" w:hAnsiTheme="majorAscii"/>
        </w:rPr>
        <w:t xml:space="preserve"> mejora la toma de decisiones mediante análisis predictivo.</w:t>
      </w:r>
    </w:p>
    <w:p w14:paraId="604D28D2">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Blockchain:</w:t>
      </w:r>
      <w:r>
        <w:rPr>
          <w:rFonts w:hint="default" w:cs="Arial" w:asciiTheme="majorAscii" w:hAnsiTheme="majorAscii"/>
        </w:rPr>
        <w:t xml:space="preserve"> asegura trazabilidad y transparencia en registros financieros y contractuales.</w:t>
      </w:r>
    </w:p>
    <w:p w14:paraId="5284FA5D">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Internet de las Cosas (IoT):</w:t>
      </w:r>
      <w:r>
        <w:rPr>
          <w:rFonts w:hint="default" w:cs="Arial" w:asciiTheme="majorAscii" w:hAnsiTheme="majorAscii"/>
        </w:rPr>
        <w:t xml:space="preserve"> permite monitoreo en tiempo real de operaciones y ambiente.</w:t>
      </w:r>
    </w:p>
    <w:p w14:paraId="3BBF5504">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Big Data:</w:t>
      </w:r>
      <w:r>
        <w:rPr>
          <w:rFonts w:hint="default" w:cs="Arial" w:asciiTheme="majorAscii" w:hAnsiTheme="majorAscii"/>
        </w:rPr>
        <w:t xml:space="preserve"> facilita análisis de grandes volúmenes de información para decisiones estratégicas.</w:t>
      </w:r>
    </w:p>
    <w:p w14:paraId="390C3345">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Cloud Computing:</w:t>
      </w:r>
      <w:r>
        <w:rPr>
          <w:rFonts w:hint="default" w:cs="Arial" w:asciiTheme="majorAscii" w:hAnsiTheme="majorAscii"/>
        </w:rPr>
        <w:t xml:space="preserve"> reduce costos y mejora accesibilidad de sistemas administrativos.</w:t>
      </w:r>
    </w:p>
    <w:p w14:paraId="59F81B1C">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Estado del arte:</w:t>
      </w:r>
      <w:r>
        <w:rPr>
          <w:rFonts w:hint="default" w:cs="Arial" w:asciiTheme="majorAscii" w:hAnsiTheme="majorAscii"/>
        </w:rPr>
        <w:t xml:space="preserve"> Estudios recientes muestran que la adopción de estas tecnologías incrementa la competitividad y sostenibilidad en sectores extractivos y comunitarios.</w:t>
      </w:r>
    </w:p>
    <w:p w14:paraId="7C4968D8">
      <w:pPr>
        <w:pStyle w:val="3"/>
        <w:keepNext w:val="0"/>
        <w:keepLines w:val="0"/>
        <w:widowControl/>
        <w:suppressLineNumbers w:val="0"/>
        <w:rPr>
          <w:rFonts w:hint="default" w:cs="Arial" w:asciiTheme="majorAscii" w:hAnsiTheme="majorAscii"/>
        </w:rPr>
      </w:pPr>
      <w:r>
        <w:rPr>
          <w:rFonts w:hint="default" w:cs="Arial" w:asciiTheme="majorAscii" w:hAnsiTheme="majorAscii"/>
        </w:rPr>
        <w:t>3. Innovación Tecnológica y Sostenibilidad</w:t>
      </w:r>
    </w:p>
    <w:p w14:paraId="2AC52394">
      <w:pPr>
        <w:pStyle w:val="9"/>
        <w:keepNext w:val="0"/>
        <w:keepLines w:val="0"/>
        <w:widowControl/>
        <w:suppressLineNumbers w:val="0"/>
        <w:rPr>
          <w:rFonts w:hint="default" w:cs="Arial" w:asciiTheme="majorAscii" w:hAnsiTheme="majorAscii"/>
        </w:rPr>
      </w:pPr>
      <w:r>
        <w:rPr>
          <w:rFonts w:hint="default" w:cs="Arial" w:asciiTheme="majorAscii" w:hAnsiTheme="majorAscii"/>
        </w:rPr>
        <w:t xml:space="preserve">La innovación tecnológica es un motor de sostenibilidad empresarial. El enfoque del </w:t>
      </w:r>
      <w:r>
        <w:rPr>
          <w:rStyle w:val="7"/>
          <w:rFonts w:hint="default" w:cs="Arial" w:asciiTheme="majorAscii" w:hAnsiTheme="majorAscii"/>
        </w:rPr>
        <w:t>triple bottom line</w:t>
      </w:r>
      <w:r>
        <w:rPr>
          <w:rFonts w:hint="default" w:cs="Arial" w:asciiTheme="majorAscii" w:hAnsiTheme="majorAscii"/>
        </w:rPr>
        <w:t xml:space="preserve"> (económico, social y ambiental) plantea que las organizaciones deben generar valor en los tres ámbitos.</w:t>
      </w:r>
    </w:p>
    <w:p w14:paraId="63D7ADCD">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Económico:</w:t>
      </w:r>
      <w:r>
        <w:rPr>
          <w:rFonts w:hint="default" w:cs="Arial" w:asciiTheme="majorAscii" w:hAnsiTheme="majorAscii"/>
        </w:rPr>
        <w:t xml:space="preserve"> eficiencia y reducción de costos.</w:t>
      </w:r>
    </w:p>
    <w:p w14:paraId="34771564">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Social:</w:t>
      </w:r>
      <w:r>
        <w:rPr>
          <w:rFonts w:hint="default" w:cs="Arial" w:asciiTheme="majorAscii" w:hAnsiTheme="majorAscii"/>
        </w:rPr>
        <w:t xml:space="preserve"> inclusión de socios comunales y mejora de condiciones laborales.</w:t>
      </w:r>
    </w:p>
    <w:p w14:paraId="6133AE90">
      <w:pPr>
        <w:pStyle w:val="9"/>
        <w:keepNext w:val="0"/>
        <w:keepLines w:val="0"/>
        <w:widowControl/>
        <w:suppressLineNumbers w:val="0"/>
        <w:ind w:firstLine="708" w:firstLineChars="0"/>
        <w:rPr>
          <w:rFonts w:hint="default" w:cs="Arial" w:asciiTheme="majorAscii" w:hAnsiTheme="majorAscii"/>
        </w:rPr>
      </w:pPr>
      <w:r>
        <w:rPr>
          <w:rStyle w:val="7"/>
          <w:rFonts w:hint="default" w:cs="Arial" w:asciiTheme="majorAscii" w:hAnsiTheme="majorAscii"/>
        </w:rPr>
        <w:t>Ambiental:</w:t>
      </w:r>
      <w:r>
        <w:rPr>
          <w:rFonts w:hint="default" w:cs="Arial" w:asciiTheme="majorAscii" w:hAnsiTheme="majorAscii"/>
        </w:rPr>
        <w:t xml:space="preserve"> reducción de impactos negativos mediante tecnologías limpias.</w:t>
      </w:r>
    </w:p>
    <w:p w14:paraId="3EE7FD05">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Normativa peruana:</w:t>
      </w:r>
      <w:r>
        <w:rPr>
          <w:rFonts w:hint="default" w:cs="Arial" w:asciiTheme="majorAscii" w:hAnsiTheme="majorAscii"/>
        </w:rPr>
        <w:t xml:space="preserve"> Ley General de Minería, Ley de Protección Ambiental y estándares ISO 14001.</w:t>
      </w:r>
    </w:p>
    <w:p w14:paraId="39CAD7FC">
      <w:pPr>
        <w:pStyle w:val="3"/>
        <w:keepNext w:val="0"/>
        <w:keepLines w:val="0"/>
        <w:widowControl/>
        <w:suppressLineNumbers w:val="0"/>
        <w:rPr>
          <w:rFonts w:hint="default" w:cs="Arial" w:asciiTheme="majorAscii" w:hAnsiTheme="majorAscii"/>
        </w:rPr>
      </w:pPr>
      <w:r>
        <w:rPr>
          <w:rFonts w:hint="default" w:cs="Arial" w:asciiTheme="majorAscii" w:hAnsiTheme="majorAscii"/>
        </w:rPr>
        <w:t>4. Transformación Digital en Empresas Comunales</w:t>
      </w:r>
    </w:p>
    <w:p w14:paraId="7F784078">
      <w:pPr>
        <w:pStyle w:val="9"/>
        <w:keepNext w:val="0"/>
        <w:keepLines w:val="0"/>
        <w:widowControl/>
        <w:suppressLineNumbers w:val="0"/>
        <w:rPr>
          <w:rFonts w:hint="default" w:cs="Arial" w:asciiTheme="majorAscii" w:hAnsiTheme="majorAscii"/>
        </w:rPr>
      </w:pPr>
      <w:r>
        <w:rPr>
          <w:rFonts w:hint="default" w:cs="Arial" w:asciiTheme="majorAscii" w:hAnsiTheme="majorAscii"/>
        </w:rPr>
        <w:t>La transformación digital implica un cambio estructural en la forma de operar y administrar.</w:t>
      </w:r>
    </w:p>
    <w:p w14:paraId="65459BA1">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Modelos de madurez digital:</w:t>
      </w:r>
      <w:r>
        <w:rPr>
          <w:rFonts w:hint="default" w:cs="Arial" w:asciiTheme="majorAscii" w:hAnsiTheme="majorAscii"/>
        </w:rPr>
        <w:t xml:space="preserve"> Gartner, Deloitte y Capgemini proponen escalas para medir el nivel de digitalización.</w:t>
      </w:r>
    </w:p>
    <w:p w14:paraId="4C9B170C">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Barreras identificadas:</w:t>
      </w:r>
      <w:r>
        <w:rPr>
          <w:rFonts w:hint="default" w:cs="Arial" w:asciiTheme="majorAscii" w:hAnsiTheme="majorAscii"/>
        </w:rPr>
        <w:t xml:space="preserve"> resistencia cultural, falta de capacitación, limitaciones financieras.</w:t>
      </w:r>
    </w:p>
    <w:p w14:paraId="2C4C5802">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Estado del arte:</w:t>
      </w:r>
      <w:r>
        <w:rPr>
          <w:rFonts w:hint="default" w:cs="Arial" w:asciiTheme="majorAscii" w:hAnsiTheme="majorAscii"/>
        </w:rPr>
        <w:t xml:space="preserve"> Investigaciones en América Latina muestran que las empresas comunales tienen menor adopción tecnológica que las privadas, lo que limita su competitividad.</w:t>
      </w:r>
    </w:p>
    <w:p w14:paraId="46BD4D5F">
      <w:pPr>
        <w:pStyle w:val="3"/>
        <w:keepNext w:val="0"/>
        <w:keepLines w:val="0"/>
        <w:widowControl/>
        <w:suppressLineNumbers w:val="0"/>
        <w:rPr>
          <w:rFonts w:hint="default" w:cs="Arial" w:asciiTheme="majorAscii" w:hAnsiTheme="majorAscii"/>
        </w:rPr>
      </w:pPr>
      <w:r>
        <w:rPr>
          <w:rFonts w:hint="default" w:cs="Arial" w:asciiTheme="majorAscii" w:hAnsiTheme="majorAscii"/>
        </w:rPr>
        <w:t>5. Estudios Previos y Brechas Identificadas</w:t>
      </w:r>
    </w:p>
    <w:p w14:paraId="7776A553">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Internacional:</w:t>
      </w:r>
      <w:r>
        <w:rPr>
          <w:rFonts w:hint="default" w:cs="Arial" w:asciiTheme="majorAscii" w:hAnsiTheme="majorAscii"/>
        </w:rPr>
        <w:t xml:space="preserve"> Casos en Chile y México evidencian que la digitalización mejora la transparencia en cooperativas mineras.</w:t>
      </w:r>
    </w:p>
    <w:p w14:paraId="3A9A0F92">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Nacional:</w:t>
      </w:r>
      <w:r>
        <w:rPr>
          <w:rFonts w:hint="default" w:cs="Arial" w:asciiTheme="majorAscii" w:hAnsiTheme="majorAscii"/>
        </w:rPr>
        <w:t xml:space="preserve"> En Perú, estudios de la UNI y PUCP señalan que las empresas comunales requieren innovación para sostener contratos con mineras.</w:t>
      </w:r>
    </w:p>
    <w:p w14:paraId="3568EFC2">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Brechas:</w:t>
      </w:r>
    </w:p>
    <w:p w14:paraId="693C0BB7">
      <w:pPr>
        <w:pStyle w:val="9"/>
        <w:keepNext w:val="0"/>
        <w:keepLines w:val="0"/>
        <w:widowControl/>
        <w:suppressLineNumbers w:val="0"/>
        <w:ind w:left="1440"/>
        <w:rPr>
          <w:rFonts w:hint="default" w:cs="Arial" w:asciiTheme="majorAscii" w:hAnsiTheme="majorAscii"/>
        </w:rPr>
      </w:pPr>
      <w:r>
        <w:rPr>
          <w:rFonts w:hint="default" w:cs="Arial" w:asciiTheme="majorAscii" w:hAnsiTheme="majorAscii"/>
        </w:rPr>
        <w:t>Escasa capacitación digital de socios.</w:t>
      </w:r>
    </w:p>
    <w:p w14:paraId="70C35E52">
      <w:pPr>
        <w:pStyle w:val="9"/>
        <w:keepNext w:val="0"/>
        <w:keepLines w:val="0"/>
        <w:widowControl/>
        <w:suppressLineNumbers w:val="0"/>
        <w:ind w:left="1440"/>
        <w:rPr>
          <w:rFonts w:hint="default" w:cs="Arial" w:asciiTheme="majorAscii" w:hAnsiTheme="majorAscii"/>
        </w:rPr>
      </w:pPr>
      <w:r>
        <w:rPr>
          <w:rFonts w:hint="default" w:cs="Arial" w:asciiTheme="majorAscii" w:hAnsiTheme="majorAscii"/>
        </w:rPr>
        <w:t>Limitado acceso a financiamiento tecnológico.</w:t>
      </w:r>
    </w:p>
    <w:p w14:paraId="000148E4">
      <w:pPr>
        <w:pStyle w:val="9"/>
        <w:keepNext w:val="0"/>
        <w:keepLines w:val="0"/>
        <w:widowControl/>
        <w:suppressLineNumbers w:val="0"/>
        <w:ind w:left="1440"/>
        <w:rPr>
          <w:rFonts w:hint="default" w:cs="Arial" w:asciiTheme="majorAscii" w:hAnsiTheme="majorAscii"/>
        </w:rPr>
      </w:pPr>
      <w:r>
        <w:rPr>
          <w:rFonts w:hint="default" w:cs="Arial" w:asciiTheme="majorAscii" w:hAnsiTheme="majorAscii"/>
        </w:rPr>
        <w:t>Falta de modelos de gobernanza digital adaptados a comunidades.</w:t>
      </w:r>
    </w:p>
    <w:p w14:paraId="71DBA732">
      <w:pPr>
        <w:pStyle w:val="3"/>
        <w:keepNext w:val="0"/>
        <w:keepLines w:val="0"/>
        <w:widowControl/>
        <w:suppressLineNumbers w:val="0"/>
        <w:rPr>
          <w:rFonts w:hint="default" w:cs="Arial" w:asciiTheme="majorAscii" w:hAnsiTheme="majorAscii"/>
        </w:rPr>
      </w:pPr>
      <w:r>
        <w:rPr>
          <w:rFonts w:hint="default" w:cs="Arial" w:asciiTheme="majorAscii" w:hAnsiTheme="majorAscii"/>
        </w:rPr>
        <w:t>6. Síntesis del Estado del Arte</w:t>
      </w:r>
    </w:p>
    <w:p w14:paraId="313A9360">
      <w:pPr>
        <w:pStyle w:val="9"/>
        <w:keepNext w:val="0"/>
        <w:keepLines w:val="0"/>
        <w:widowControl/>
        <w:suppressLineNumbers w:val="0"/>
        <w:jc w:val="both"/>
        <w:rPr>
          <w:rFonts w:hint="default" w:cs="Arial" w:asciiTheme="majorAscii" w:hAnsiTheme="majorAscii"/>
        </w:rPr>
      </w:pPr>
      <w:r>
        <w:rPr>
          <w:rFonts w:hint="default" w:cs="Arial" w:asciiTheme="majorAscii" w:hAnsiTheme="majorAscii"/>
        </w:rPr>
        <w:t xml:space="preserve">El marco teórico evidencia que la </w:t>
      </w:r>
      <w:r>
        <w:rPr>
          <w:rStyle w:val="7"/>
          <w:rFonts w:hint="default" w:cs="Arial" w:asciiTheme="majorAscii" w:hAnsiTheme="majorAscii"/>
        </w:rPr>
        <w:t>innovación tecnológica y la transformación digital</w:t>
      </w:r>
      <w:r>
        <w:rPr>
          <w:rFonts w:hint="default" w:cs="Arial" w:asciiTheme="majorAscii" w:hAnsiTheme="majorAscii"/>
        </w:rPr>
        <w:t xml:space="preserve"> son factores críticos para la sostenibilidad de empresas comunales mineras. Sin embargo, existen brechas en capacitación, financiamiento y gobernanza que deben ser abordadas mediante un modelo adaptado al contexto peruano.</w:t>
      </w:r>
    </w:p>
    <w:p w14:paraId="0FC0A6C2">
      <w:pPr>
        <w:pStyle w:val="9"/>
        <w:keepNext w:val="0"/>
        <w:keepLines w:val="0"/>
        <w:widowControl/>
        <w:suppressLineNumbers w:val="0"/>
        <w:ind w:left="720"/>
        <w:rPr>
          <w:rStyle w:val="7"/>
          <w:rFonts w:hint="default" w:cs="Arial" w:asciiTheme="majorAscii" w:hAnsiTheme="majorAscii"/>
        </w:rPr>
      </w:pPr>
    </w:p>
    <w:p w14:paraId="44A87E46">
      <w:pPr>
        <w:pStyle w:val="3"/>
        <w:keepNext w:val="0"/>
        <w:keepLines w:val="0"/>
        <w:widowControl/>
        <w:suppressLineNumbers w:val="0"/>
        <w:rPr>
          <w:rFonts w:hint="default" w:cs="Arial" w:asciiTheme="majorAscii" w:hAnsiTheme="majorAscii"/>
        </w:rPr>
      </w:pPr>
      <w:r>
        <w:rPr>
          <w:rFonts w:hint="default" w:cs="Arial" w:asciiTheme="majorAscii" w:hAnsiTheme="majorAscii"/>
        </w:rPr>
        <w:t>Hipótesis / Preguntas de Investigación</w:t>
      </w:r>
    </w:p>
    <w:p w14:paraId="1D00BA3D">
      <w:pPr>
        <w:keepNext w:val="0"/>
        <w:keepLines w:val="0"/>
        <w:widowControl/>
        <w:numPr>
          <w:ilvl w:val="0"/>
          <w:numId w:val="0"/>
        </w:numPr>
        <w:suppressLineNumbers w:val="0"/>
        <w:spacing w:before="0" w:beforeAutospacing="1" w:after="0" w:afterAutospacing="1"/>
        <w:ind w:left="1080" w:leftChars="0"/>
        <w:rPr>
          <w:rFonts w:hint="default" w:cs="Arial" w:asciiTheme="majorAscii" w:hAnsiTheme="majorAscii"/>
        </w:rPr>
      </w:pPr>
    </w:p>
    <w:p w14:paraId="6A110367">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Hipótesis principal:</w:t>
      </w:r>
      <w:r>
        <w:rPr>
          <w:rFonts w:hint="default" w:cs="Arial" w:asciiTheme="majorAscii" w:hAnsiTheme="majorAscii"/>
        </w:rPr>
        <w:t xml:space="preserve"> </w:t>
      </w:r>
    </w:p>
    <w:p w14:paraId="68D4AD7F">
      <w:pPr>
        <w:pStyle w:val="9"/>
        <w:keepNext w:val="0"/>
        <w:keepLines w:val="0"/>
        <w:widowControl/>
        <w:suppressLineNumbers w:val="0"/>
        <w:ind w:left="720"/>
        <w:jc w:val="both"/>
        <w:rPr>
          <w:rFonts w:hint="default" w:cs="Arial" w:asciiTheme="majorAscii" w:hAnsiTheme="majorAscii"/>
        </w:rPr>
      </w:pPr>
      <w:r>
        <w:rPr>
          <w:rFonts w:hint="default" w:cs="Arial" w:asciiTheme="majorAscii" w:hAnsiTheme="majorAscii"/>
        </w:rPr>
        <w:t>La adopción de tecnologías emergentes incrementa la sostenibilidad y competitividad de empresas comunales mineras en</w:t>
      </w:r>
      <w:r>
        <w:rPr>
          <w:rFonts w:hint="default" w:cs="Arial" w:asciiTheme="majorAscii" w:hAnsiTheme="majorAscii"/>
          <w:lang w:val="es-ES"/>
        </w:rPr>
        <w:t xml:space="preserve"> el </w:t>
      </w:r>
      <w:r>
        <w:rPr>
          <w:rFonts w:hint="default" w:cs="Arial" w:asciiTheme="majorAscii" w:hAnsiTheme="majorAscii"/>
        </w:rPr>
        <w:t xml:space="preserve"> P</w:t>
      </w:r>
      <w:r>
        <w:rPr>
          <w:rFonts w:hint="default" w:cs="Arial" w:asciiTheme="majorAscii" w:hAnsiTheme="majorAscii"/>
          <w:lang w:val="es-ES"/>
        </w:rPr>
        <w:t>erú</w:t>
      </w:r>
      <w:r>
        <w:rPr>
          <w:rFonts w:hint="default" w:cs="Arial" w:asciiTheme="majorAscii" w:hAnsiTheme="majorAscii"/>
        </w:rPr>
        <w:t>.</w:t>
      </w:r>
    </w:p>
    <w:p w14:paraId="5474B1AE">
      <w:pPr>
        <w:pStyle w:val="9"/>
        <w:keepNext w:val="0"/>
        <w:keepLines w:val="0"/>
        <w:widowControl/>
        <w:suppressLineNumbers w:val="0"/>
        <w:ind w:left="720"/>
        <w:rPr>
          <w:rStyle w:val="7"/>
          <w:rFonts w:hint="default" w:cs="Arial" w:asciiTheme="majorAscii" w:hAnsiTheme="majorAscii"/>
          <w:lang w:val="es-ES"/>
        </w:rPr>
      </w:pPr>
      <w:r>
        <w:rPr>
          <w:rStyle w:val="7"/>
          <w:rFonts w:hint="default" w:cs="Arial" w:asciiTheme="majorAscii" w:hAnsiTheme="majorAscii"/>
        </w:rPr>
        <w:t>Preguntas de investigación</w:t>
      </w:r>
      <w:r>
        <w:rPr>
          <w:rStyle w:val="7"/>
          <w:rFonts w:hint="default" w:cs="Arial" w:asciiTheme="majorAscii" w:hAnsiTheme="majorAscii"/>
          <w:lang w:val="es-ES"/>
        </w:rPr>
        <w:t>:</w:t>
      </w:r>
    </w:p>
    <w:p w14:paraId="3D44F1F8">
      <w:pPr>
        <w:pStyle w:val="9"/>
        <w:keepNext w:val="0"/>
        <w:keepLines w:val="0"/>
        <w:widowControl/>
        <w:suppressLineNumbers w:val="0"/>
        <w:ind w:left="720"/>
        <w:jc w:val="both"/>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¿Qué tecnologías emergentes son más relevantes para la gestión comunal minera?</w:t>
      </w:r>
    </w:p>
    <w:p w14:paraId="60DA7DD7">
      <w:pPr>
        <w:pStyle w:val="9"/>
        <w:keepNext w:val="0"/>
        <w:keepLines w:val="0"/>
        <w:widowControl/>
        <w:suppressLineNumbers w:val="0"/>
        <w:ind w:left="720"/>
        <w:jc w:val="both"/>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¿Cómo perciben los socios comunales la innovación tecnológica?</w:t>
      </w:r>
    </w:p>
    <w:p w14:paraId="3832D3F1">
      <w:pPr>
        <w:pStyle w:val="9"/>
        <w:keepNext w:val="0"/>
        <w:keepLines w:val="0"/>
        <w:widowControl/>
        <w:suppressLineNumbers w:val="0"/>
        <w:ind w:left="720"/>
        <w:jc w:val="both"/>
        <w:rPr>
          <w:rFonts w:hint="default" w:cs="Arial" w:asciiTheme="majorAscii" w:hAnsiTheme="majorAscii"/>
        </w:rPr>
      </w:pPr>
      <w:r>
        <w:rPr>
          <w:rFonts w:hint="default" w:cs="Arial" w:asciiTheme="majorAscii" w:hAnsiTheme="majorAscii"/>
          <w:lang w:val="es-ES"/>
        </w:rPr>
        <w:t>-</w:t>
      </w:r>
      <w:r>
        <w:rPr>
          <w:rFonts w:hint="default" w:cs="Arial" w:asciiTheme="majorAscii" w:hAnsiTheme="majorAscii"/>
        </w:rPr>
        <w:t xml:space="preserve">¿Qué impacto tiene la digitalización en la transparencia y sostenibilidad de estas </w:t>
      </w:r>
      <w:r>
        <w:rPr>
          <w:rFonts w:hint="default" w:cs="Arial" w:asciiTheme="majorAscii" w:hAnsiTheme="majorAscii"/>
          <w:lang w:val="es-ES"/>
        </w:rPr>
        <w:t>organizaciones</w:t>
      </w:r>
      <w:r>
        <w:rPr>
          <w:rFonts w:hint="default" w:cs="Arial" w:asciiTheme="majorAscii" w:hAnsiTheme="majorAscii"/>
        </w:rPr>
        <w:t>?</w:t>
      </w:r>
    </w:p>
    <w:p w14:paraId="3F08B2D2">
      <w:pPr>
        <w:pStyle w:val="2"/>
        <w:keepNext w:val="0"/>
        <w:keepLines w:val="0"/>
        <w:widowControl/>
        <w:suppressLineNumbers w:val="0"/>
        <w:rPr>
          <w:rFonts w:hint="default" w:cs="Arial" w:asciiTheme="majorAscii" w:hAnsiTheme="majorAscii"/>
        </w:rPr>
      </w:pPr>
      <w:r>
        <w:rPr>
          <w:rFonts w:hint="default" w:cs="Arial" w:asciiTheme="majorAscii" w:hAnsiTheme="majorAscii"/>
        </w:rPr>
        <w:t xml:space="preserve"> Planteamiento del Problema</w:t>
      </w:r>
    </w:p>
    <w:p w14:paraId="1E476C1C">
      <w:pPr>
        <w:pStyle w:val="3"/>
        <w:keepNext w:val="0"/>
        <w:keepLines w:val="0"/>
        <w:widowControl/>
        <w:suppressLineNumbers w:val="0"/>
        <w:rPr>
          <w:rFonts w:hint="default" w:cs="Arial" w:asciiTheme="majorAscii" w:hAnsiTheme="majorAscii"/>
        </w:rPr>
      </w:pPr>
      <w:r>
        <w:rPr>
          <w:rFonts w:hint="default" w:cs="Arial" w:asciiTheme="majorAscii" w:hAnsiTheme="majorAscii"/>
        </w:rPr>
        <w:t>Brecha Real</w:t>
      </w:r>
    </w:p>
    <w:p w14:paraId="13A606F2">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Acceso desigual a TIC:</w:t>
      </w:r>
      <w:r>
        <w:rPr>
          <w:rFonts w:hint="default" w:cs="Arial" w:asciiTheme="majorAscii" w:hAnsiTheme="majorAscii"/>
        </w:rPr>
        <w:t xml:space="preserve"> Según INEI (2023), apenas </w:t>
      </w:r>
      <w:r>
        <w:rPr>
          <w:rStyle w:val="7"/>
          <w:rFonts w:hint="default" w:cs="Arial" w:asciiTheme="majorAscii" w:hAnsiTheme="majorAscii"/>
        </w:rPr>
        <w:t>35% de microempresas</w:t>
      </w:r>
      <w:r>
        <w:rPr>
          <w:rFonts w:hint="default" w:cs="Arial" w:asciiTheme="majorAscii" w:hAnsiTheme="majorAscii"/>
        </w:rPr>
        <w:t xml:space="preserve"> utilizan internet para procesos administrativos, mientras que en grandes empresas la cifra supera el </w:t>
      </w:r>
      <w:r>
        <w:rPr>
          <w:rStyle w:val="7"/>
          <w:rFonts w:hint="default" w:cs="Arial" w:asciiTheme="majorAscii" w:hAnsiTheme="majorAscii"/>
        </w:rPr>
        <w:t>80%</w:t>
      </w:r>
      <w:r>
        <w:rPr>
          <w:rFonts w:hint="default" w:cs="Arial" w:asciiTheme="majorAscii" w:hAnsiTheme="majorAscii"/>
        </w:rPr>
        <w:t>.</w:t>
      </w:r>
    </w:p>
    <w:p w14:paraId="5340ED34">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Uso limitado de tecnologías emergentes:</w:t>
      </w:r>
      <w:r>
        <w:rPr>
          <w:rFonts w:hint="default" w:cs="Arial" w:asciiTheme="majorAscii" w:hAnsiTheme="majorAscii"/>
        </w:rPr>
        <w:t xml:space="preserve"> El acceso a </w:t>
      </w:r>
      <w:r>
        <w:rPr>
          <w:rStyle w:val="7"/>
          <w:rFonts w:hint="default" w:cs="Arial" w:asciiTheme="majorAscii" w:hAnsiTheme="majorAscii"/>
        </w:rPr>
        <w:t>cloud computing y Big Data</w:t>
      </w:r>
      <w:r>
        <w:rPr>
          <w:rFonts w:hint="default" w:cs="Arial" w:asciiTheme="majorAscii" w:hAnsiTheme="majorAscii"/>
        </w:rPr>
        <w:t xml:space="preserve"> es marginal en micro y pequeñas empresas (&lt;10%), lo que restringe innovación y eficiencia .</w:t>
      </w:r>
    </w:p>
    <w:p w14:paraId="317424D1">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Brecha territorial:</w:t>
      </w:r>
      <w:r>
        <w:rPr>
          <w:rFonts w:hint="default" w:cs="Arial" w:asciiTheme="majorAscii" w:hAnsiTheme="majorAscii"/>
        </w:rPr>
        <w:t xml:space="preserve"> Pronatel (2025) reporta que departamentos como Pasco presentan índices de brecha digital superiores al promedio nacional, con baja apropiación de TIC en comunidades rurales .</w:t>
      </w:r>
    </w:p>
    <w:p w14:paraId="51B35863">
      <w:pPr>
        <w:pStyle w:val="3"/>
        <w:keepNext w:val="0"/>
        <w:keepLines w:val="0"/>
        <w:widowControl/>
        <w:suppressLineNumbers w:val="0"/>
        <w:rPr>
          <w:rFonts w:hint="default" w:cs="Arial" w:asciiTheme="majorAscii" w:hAnsiTheme="majorAscii"/>
        </w:rPr>
      </w:pPr>
      <w:r>
        <w:rPr>
          <w:rFonts w:hint="default" w:cs="Arial" w:asciiTheme="majorAscii" w:hAnsiTheme="majorAscii"/>
        </w:rPr>
        <w:t>Pregunta de Investigación</w:t>
      </w:r>
    </w:p>
    <w:p w14:paraId="28B4F87B">
      <w:pPr>
        <w:pStyle w:val="9"/>
        <w:keepNext w:val="0"/>
        <w:keepLines w:val="0"/>
        <w:widowControl/>
        <w:suppressLineNumbers w:val="0"/>
        <w:rPr>
          <w:rFonts w:hint="default" w:cs="Arial" w:asciiTheme="majorAscii" w:hAnsiTheme="majorAscii"/>
        </w:rPr>
      </w:pPr>
      <w:r>
        <w:rPr>
          <w:rStyle w:val="7"/>
          <w:rFonts w:hint="default" w:cs="Arial" w:asciiTheme="majorAscii" w:hAnsiTheme="majorAscii"/>
        </w:rPr>
        <w:t>¿Cómo la adopción de tecnologías emergentes (IA, Blockchain, IoT, Big Data) impacta en la sostenibilidad y competitividad de las empresas comunales mineras en Pasco entre 2025 y 2028?</w:t>
      </w:r>
    </w:p>
    <w:p w14:paraId="29831D81">
      <w:pPr>
        <w:pStyle w:val="3"/>
        <w:keepNext w:val="0"/>
        <w:keepLines w:val="0"/>
        <w:widowControl/>
        <w:suppressLineNumbers w:val="0"/>
        <w:rPr>
          <w:rFonts w:hint="default" w:cs="Arial" w:asciiTheme="majorAscii" w:hAnsiTheme="majorAscii"/>
        </w:rPr>
      </w:pPr>
      <w:r>
        <w:rPr>
          <w:rFonts w:hint="default" w:cs="Arial" w:asciiTheme="majorAscii" w:hAnsiTheme="majorAscii"/>
        </w:rPr>
        <w:t>Delimitación</w:t>
      </w:r>
    </w:p>
    <w:p w14:paraId="15189C7C">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Población:</w:t>
      </w:r>
      <w:r>
        <w:rPr>
          <w:rFonts w:hint="default" w:cs="Arial" w:asciiTheme="majorAscii" w:hAnsiTheme="majorAscii"/>
        </w:rPr>
        <w:t xml:space="preserve"> Empresas comunales mineras de Pasco.</w:t>
      </w:r>
    </w:p>
    <w:p w14:paraId="3868539F">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Tiempo:</w:t>
      </w:r>
      <w:r>
        <w:rPr>
          <w:rFonts w:hint="default" w:cs="Arial" w:asciiTheme="majorAscii" w:hAnsiTheme="majorAscii"/>
        </w:rPr>
        <w:t xml:space="preserve"> Periodo 2025–2028.</w:t>
      </w:r>
    </w:p>
    <w:p w14:paraId="54DA90F0">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Lugar:</w:t>
      </w:r>
      <w:r>
        <w:rPr>
          <w:rFonts w:hint="default" w:cs="Arial" w:asciiTheme="majorAscii" w:hAnsiTheme="majorAscii"/>
        </w:rPr>
        <w:t xml:space="preserve"> Región Pasco, Perú.</w:t>
      </w:r>
    </w:p>
    <w:p w14:paraId="45DB776D">
      <w:pPr>
        <w:pStyle w:val="2"/>
        <w:keepNext w:val="0"/>
        <w:keepLines w:val="0"/>
        <w:widowControl/>
        <w:suppressLineNumbers w:val="0"/>
        <w:rPr>
          <w:rFonts w:hint="default" w:cs="Arial" w:asciiTheme="majorAscii" w:hAnsiTheme="majorAscii"/>
        </w:rPr>
      </w:pPr>
      <w:r>
        <w:rPr>
          <w:rFonts w:hint="default" w:cs="Arial" w:asciiTheme="majorAscii" w:hAnsiTheme="majorAscii"/>
        </w:rPr>
        <w:t>Justificación e Importancia</w:t>
      </w:r>
    </w:p>
    <w:p w14:paraId="05127506">
      <w:pPr>
        <w:pStyle w:val="3"/>
        <w:keepNext w:val="0"/>
        <w:keepLines w:val="0"/>
        <w:widowControl/>
        <w:suppressLineNumbers w:val="0"/>
        <w:rPr>
          <w:rFonts w:hint="default" w:cs="Arial" w:asciiTheme="majorAscii" w:hAnsiTheme="majorAscii"/>
        </w:rPr>
      </w:pPr>
      <w:r>
        <w:rPr>
          <w:rFonts w:hint="default" w:cs="Arial" w:asciiTheme="majorAscii" w:hAnsiTheme="majorAscii"/>
        </w:rPr>
        <w:t>Teórica</w:t>
      </w:r>
    </w:p>
    <w:p w14:paraId="0E63F541">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Vacío en la literatura:</w:t>
      </w:r>
      <w:r>
        <w:rPr>
          <w:rFonts w:hint="default" w:cs="Arial" w:asciiTheme="majorAscii" w:hAnsiTheme="majorAscii"/>
        </w:rPr>
        <w:t xml:space="preserve"> La mayoría de estudios sobre transformación digital en minería se centran en grandes corporaciones; existe escasa investigación sobre </w:t>
      </w:r>
      <w:r>
        <w:rPr>
          <w:rStyle w:val="7"/>
          <w:rFonts w:hint="default" w:cs="Arial" w:asciiTheme="majorAscii" w:hAnsiTheme="majorAscii"/>
        </w:rPr>
        <w:t>empresas comunales</w:t>
      </w:r>
      <w:r>
        <w:rPr>
          <w:rFonts w:hint="default" w:cs="Arial" w:asciiTheme="majorAscii" w:hAnsiTheme="majorAscii"/>
        </w:rPr>
        <w:t>.</w:t>
      </w:r>
    </w:p>
    <w:p w14:paraId="21BA3F79">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Aporte académico:</w:t>
      </w:r>
      <w:r>
        <w:rPr>
          <w:rFonts w:hint="default" w:cs="Arial" w:asciiTheme="majorAscii" w:hAnsiTheme="majorAscii"/>
        </w:rPr>
        <w:t xml:space="preserve"> El proyecto llenará este vacío, proponiendo un modelo de transformación digital adaptado a comunidades rurales.</w:t>
      </w:r>
    </w:p>
    <w:p w14:paraId="031442C4">
      <w:pPr>
        <w:pStyle w:val="3"/>
        <w:keepNext w:val="0"/>
        <w:keepLines w:val="0"/>
        <w:widowControl/>
        <w:suppressLineNumbers w:val="0"/>
        <w:rPr>
          <w:rFonts w:hint="default" w:cs="Arial" w:asciiTheme="majorAscii" w:hAnsiTheme="majorAscii"/>
        </w:rPr>
      </w:pPr>
      <w:r>
        <w:rPr>
          <w:rFonts w:hint="default" w:cs="Arial" w:asciiTheme="majorAscii" w:hAnsiTheme="majorAscii"/>
        </w:rPr>
        <w:t>Práctica</w:t>
      </w:r>
    </w:p>
    <w:p w14:paraId="7678AB11">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Beneficio empresarial:</w:t>
      </w:r>
      <w:r>
        <w:rPr>
          <w:rFonts w:hint="default" w:cs="Arial" w:asciiTheme="majorAscii" w:hAnsiTheme="majorAscii"/>
        </w:rPr>
        <w:t xml:space="preserve"> Mejora de eficiencia, transparencia y sostenibilidad en empresas comunales.</w:t>
      </w:r>
    </w:p>
    <w:p w14:paraId="4549D999">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Política pública:</w:t>
      </w:r>
      <w:r>
        <w:rPr>
          <w:rFonts w:hint="default" w:cs="Arial" w:asciiTheme="majorAscii" w:hAnsiTheme="majorAscii"/>
        </w:rPr>
        <w:t xml:space="preserve"> Evidencia para diseñar programas de apoyo tecnológico en comunidades mineras.</w:t>
      </w:r>
    </w:p>
    <w:p w14:paraId="160A369D">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Sector productivo:</w:t>
      </w:r>
      <w:r>
        <w:rPr>
          <w:rFonts w:hint="default" w:cs="Arial" w:asciiTheme="majorAscii" w:hAnsiTheme="majorAscii"/>
        </w:rPr>
        <w:t xml:space="preserve"> Incremento de competitividad frente a empresas privadas.</w:t>
      </w:r>
    </w:p>
    <w:p w14:paraId="78C4F42A">
      <w:pPr>
        <w:pStyle w:val="3"/>
        <w:keepNext w:val="0"/>
        <w:keepLines w:val="0"/>
        <w:widowControl/>
        <w:suppressLineNumbers w:val="0"/>
        <w:rPr>
          <w:rFonts w:hint="default" w:cs="Arial" w:asciiTheme="majorAscii" w:hAnsiTheme="majorAscii"/>
        </w:rPr>
      </w:pPr>
      <w:r>
        <w:rPr>
          <w:rFonts w:hint="default" w:cs="Arial" w:asciiTheme="majorAscii" w:hAnsiTheme="majorAscii"/>
        </w:rPr>
        <w:t>Social</w:t>
      </w:r>
    </w:p>
    <w:p w14:paraId="2E271BCC">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Perú 4.0:</w:t>
      </w:r>
      <w:r>
        <w:rPr>
          <w:rFonts w:hint="default" w:cs="Arial" w:asciiTheme="majorAscii" w:hAnsiTheme="majorAscii"/>
        </w:rPr>
        <w:t xml:space="preserve"> Contribuye a la estrategia nacional de digitalización.</w:t>
      </w:r>
    </w:p>
    <w:p w14:paraId="795285DF">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Agenda 2030:</w:t>
      </w:r>
      <w:r>
        <w:rPr>
          <w:rFonts w:hint="default" w:cs="Arial" w:asciiTheme="majorAscii" w:hAnsiTheme="majorAscii"/>
        </w:rPr>
        <w:t xml:space="preserve"> Alinea con los ODS, especialmente el ODS 9 (Industria, innovación e infraestructura) y ODS 12 (Producción y consumo responsables).</w:t>
      </w:r>
    </w:p>
    <w:p w14:paraId="455758B4">
      <w:pPr>
        <w:pStyle w:val="9"/>
        <w:keepNext w:val="0"/>
        <w:keepLines w:val="0"/>
        <w:widowControl/>
        <w:suppressLineNumbers w:val="0"/>
        <w:ind w:left="720"/>
        <w:rPr>
          <w:rFonts w:hint="default" w:cs="Arial" w:asciiTheme="majorAscii" w:hAnsiTheme="majorAscii"/>
        </w:rPr>
      </w:pPr>
      <w:r>
        <w:rPr>
          <w:rStyle w:val="7"/>
          <w:rFonts w:hint="default" w:cs="Arial" w:asciiTheme="majorAscii" w:hAnsiTheme="majorAscii"/>
        </w:rPr>
        <w:t>Inclusión digital:</w:t>
      </w:r>
      <w:r>
        <w:rPr>
          <w:rFonts w:hint="default" w:cs="Arial" w:asciiTheme="majorAscii" w:hAnsiTheme="majorAscii"/>
        </w:rPr>
        <w:t xml:space="preserve"> Reduce brechas sociales y territoriales en comunidades rurales.</w:t>
      </w:r>
    </w:p>
    <w:p w14:paraId="32BB67D8">
      <w:pPr>
        <w:pStyle w:val="3"/>
        <w:keepNext w:val="0"/>
        <w:keepLines w:val="0"/>
        <w:widowControl/>
        <w:suppressLineNumbers w:val="0"/>
        <w:rPr>
          <w:rFonts w:hint="default" w:cs="Arial" w:asciiTheme="majorAscii" w:hAnsiTheme="majorAscii"/>
        </w:rPr>
      </w:pPr>
      <w:r>
        <w:rPr>
          <w:rFonts w:hint="default" w:cs="Arial" w:asciiTheme="majorAscii" w:hAnsiTheme="majorAscii"/>
        </w:rPr>
        <w:t>Vinculación con la Mención en Tecnología (UNI)</w:t>
      </w:r>
    </w:p>
    <w:p w14:paraId="03727068">
      <w:pPr>
        <w:pStyle w:val="9"/>
        <w:keepNext w:val="0"/>
        <w:keepLines w:val="0"/>
        <w:widowControl/>
        <w:suppressLineNumbers w:val="0"/>
        <w:jc w:val="both"/>
        <w:rPr>
          <w:rFonts w:hint="default" w:cs="Arial" w:asciiTheme="majorAscii" w:hAnsiTheme="majorAscii"/>
        </w:rPr>
      </w:pPr>
      <w:r>
        <w:rPr>
          <w:rFonts w:hint="default" w:cs="Arial" w:asciiTheme="majorAscii" w:hAnsiTheme="majorAscii"/>
        </w:rPr>
        <w:t xml:space="preserve">El proyecto se integra plenamente en la línea de investigación de la UNI sobre </w:t>
      </w:r>
      <w:r>
        <w:rPr>
          <w:rFonts w:hint="default" w:cs="Arial" w:asciiTheme="majorAscii" w:hAnsiTheme="majorAscii"/>
          <w:b/>
          <w:bCs/>
          <w:lang w:val="es-ES"/>
        </w:rPr>
        <w:t>tecnologí</w:t>
      </w:r>
      <w:r>
        <w:rPr>
          <w:rFonts w:hint="default" w:cs="Arial" w:asciiTheme="majorAscii" w:hAnsiTheme="majorAscii"/>
          <w:b w:val="0"/>
          <w:bCs w:val="0"/>
          <w:lang w:val="es-ES"/>
        </w:rPr>
        <w:t xml:space="preserve">as </w:t>
      </w:r>
      <w:r>
        <w:rPr>
          <w:rFonts w:hint="default" w:cs="Arial" w:asciiTheme="majorAscii" w:hAnsiTheme="majorAscii"/>
          <w:b/>
          <w:bCs/>
          <w:lang w:val="es-ES"/>
        </w:rPr>
        <w:t>emergentes y su impacto en las organizaciones</w:t>
      </w:r>
      <w:r>
        <w:rPr>
          <w:rFonts w:hint="default" w:cs="Arial" w:asciiTheme="majorAscii" w:hAnsiTheme="majorAscii"/>
        </w:rPr>
        <w:t>, aportando un caso aplicado en minería comunal. La propuesta combina rigor científico con pertinencia social.</w:t>
      </w:r>
    </w:p>
    <w:p w14:paraId="1D283DE8">
      <w:pPr>
        <w:pStyle w:val="13"/>
        <w:numPr>
          <w:ilvl w:val="0"/>
          <w:numId w:val="0"/>
        </w:numPr>
        <w:spacing w:line="360" w:lineRule="auto"/>
        <w:ind w:left="360" w:leftChars="0"/>
        <w:rPr>
          <w:rFonts w:ascii="Arial" w:hAnsi="Arial" w:cs="Arial"/>
          <w:b/>
          <w:bCs/>
          <w:lang w:val="es-PE"/>
        </w:rPr>
      </w:pPr>
    </w:p>
    <w:p w14:paraId="40B0A99B">
      <w:pPr>
        <w:pStyle w:val="13"/>
        <w:numPr>
          <w:ilvl w:val="0"/>
          <w:numId w:val="0"/>
        </w:numPr>
        <w:spacing w:line="360" w:lineRule="auto"/>
        <w:ind w:left="360" w:leftChars="0"/>
        <w:rPr>
          <w:rFonts w:ascii="Arial" w:hAnsi="Arial" w:cs="Arial"/>
          <w:b/>
          <w:bCs/>
          <w:lang w:val="es-PE"/>
        </w:rPr>
      </w:pPr>
    </w:p>
    <w:p w14:paraId="43CA0DDA">
      <w:pPr>
        <w:pStyle w:val="13"/>
        <w:numPr>
          <w:ilvl w:val="0"/>
          <w:numId w:val="0"/>
        </w:numPr>
        <w:spacing w:line="360" w:lineRule="auto"/>
        <w:ind w:left="360" w:leftChars="0"/>
        <w:rPr>
          <w:rFonts w:ascii="Arial" w:hAnsi="Arial" w:cs="Arial"/>
          <w:b/>
          <w:bCs/>
          <w:lang w:val="es-PE"/>
        </w:rPr>
      </w:pPr>
    </w:p>
    <w:p w14:paraId="343E87D2">
      <w:pPr>
        <w:pStyle w:val="13"/>
        <w:numPr>
          <w:ilvl w:val="0"/>
          <w:numId w:val="0"/>
        </w:numPr>
        <w:spacing w:line="360" w:lineRule="auto"/>
        <w:ind w:left="360" w:leftChars="0"/>
        <w:rPr>
          <w:rFonts w:ascii="Arial" w:hAnsi="Arial" w:cs="Arial"/>
          <w:b/>
          <w:bCs/>
          <w:lang w:val="es-PE"/>
        </w:rPr>
      </w:pPr>
    </w:p>
    <w:p w14:paraId="1BB8E779">
      <w:pPr>
        <w:pStyle w:val="13"/>
        <w:numPr>
          <w:ilvl w:val="0"/>
          <w:numId w:val="2"/>
        </w:numPr>
        <w:spacing w:line="360" w:lineRule="auto"/>
        <w:rPr>
          <w:rFonts w:ascii="Arial" w:hAnsi="Arial" w:cs="Arial"/>
          <w:b/>
          <w:bCs/>
          <w:lang w:val="es-PE"/>
        </w:rPr>
      </w:pPr>
      <w:r>
        <w:rPr>
          <w:rFonts w:ascii="Arial" w:hAnsi="Arial" w:cs="Arial"/>
          <w:b/>
          <w:bCs/>
          <w:lang w:val="es-PE"/>
        </w:rPr>
        <w:t>Diagnóstico Situacional</w:t>
      </w:r>
    </w:p>
    <w:p w14:paraId="7FBD4C92">
      <w:pPr>
        <w:pStyle w:val="13"/>
        <w:numPr>
          <w:ilvl w:val="0"/>
          <w:numId w:val="0"/>
        </w:numPr>
        <w:spacing w:line="360" w:lineRule="auto"/>
        <w:ind w:left="360" w:leftChars="0"/>
        <w:rPr>
          <w:rFonts w:ascii="Arial" w:hAnsi="Arial" w:cs="Arial"/>
          <w:b/>
          <w:bCs/>
          <w:lang w:val="es-PE"/>
        </w:rPr>
      </w:pPr>
    </w:p>
    <w:p w14:paraId="37B79B00">
      <w:pPr>
        <w:pStyle w:val="13"/>
        <w:numPr>
          <w:ilvl w:val="0"/>
          <w:numId w:val="0"/>
        </w:numPr>
        <w:spacing w:line="360" w:lineRule="auto"/>
        <w:ind w:left="360" w:leftChars="0" w:firstLine="2818" w:firstLineChars="0"/>
        <w:jc w:val="both"/>
        <w:rPr>
          <w:rFonts w:hint="default" w:ascii="Arial" w:hAnsi="Arial" w:cs="Arial"/>
          <w:b w:val="0"/>
          <w:bCs w:val="0"/>
          <w:lang w:val="es-PE"/>
        </w:rPr>
      </w:pPr>
      <w:r>
        <w:rPr>
          <w:rFonts w:hint="default" w:ascii="Arial" w:hAnsi="Arial" w:cs="Arial"/>
          <w:b w:val="0"/>
          <w:bCs w:val="0"/>
          <w:lang w:val="es-PE"/>
        </w:rPr>
        <w:t xml:space="preserve">La minería en </w:t>
      </w:r>
      <w:r>
        <w:rPr>
          <w:rFonts w:hint="default" w:ascii="Arial" w:hAnsi="Arial" w:cs="Arial"/>
          <w:b w:val="0"/>
          <w:bCs w:val="0"/>
          <w:lang w:val="es-ES"/>
        </w:rPr>
        <w:t xml:space="preserve">el Perú </w:t>
      </w:r>
      <w:r>
        <w:rPr>
          <w:rFonts w:hint="default" w:ascii="Arial" w:hAnsi="Arial" w:cs="Arial"/>
          <w:b w:val="0"/>
          <w:bCs w:val="0"/>
          <w:lang w:val="es-PE"/>
        </w:rPr>
        <w:t>constituye una actividad económica central, pero también genera impactos sociales y ambientales significativos. En este escenario, las empresas de servicios múltiples comunales (ESMC) se han convertido en proveedores estratégicos de servicios de apoyo (logística, mantenimiento, gestión ambiental, transporte, alimentación).</w:t>
      </w:r>
    </w:p>
    <w:p w14:paraId="6FB387DC">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PE"/>
        </w:rPr>
        <w:t>Actualmente, estas empresas enfrentan:</w:t>
      </w:r>
    </w:p>
    <w:p w14:paraId="7608D61D">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ES"/>
        </w:rPr>
        <w:t>-</w:t>
      </w:r>
      <w:r>
        <w:rPr>
          <w:rFonts w:hint="default" w:ascii="Arial" w:hAnsi="Arial" w:cs="Arial"/>
          <w:b w:val="0"/>
          <w:bCs w:val="0"/>
          <w:lang w:val="es-PE"/>
        </w:rPr>
        <w:t>Dependencia económica de contratos mineros, sin diversificación hacia otros sectores.</w:t>
      </w:r>
    </w:p>
    <w:p w14:paraId="1D164301">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ES"/>
        </w:rPr>
        <w:t>-</w:t>
      </w:r>
      <w:r>
        <w:rPr>
          <w:rFonts w:hint="default" w:ascii="Arial" w:hAnsi="Arial" w:cs="Arial"/>
          <w:b w:val="0"/>
          <w:bCs w:val="0"/>
          <w:lang w:val="es-PE"/>
        </w:rPr>
        <w:t>Limitada capacidad administrativa, con estructuras de gestión poco profesionalizadas.</w:t>
      </w:r>
    </w:p>
    <w:p w14:paraId="1C4341F3">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ES"/>
        </w:rPr>
        <w:t>-</w:t>
      </w:r>
      <w:r>
        <w:rPr>
          <w:rFonts w:hint="default" w:ascii="Arial" w:hAnsi="Arial" w:cs="Arial"/>
          <w:b w:val="0"/>
          <w:bCs w:val="0"/>
          <w:lang w:val="es-PE"/>
        </w:rPr>
        <w:t xml:space="preserve">Escasa incorporación tecnológica, lo que </w:t>
      </w:r>
      <w:r>
        <w:rPr>
          <w:rFonts w:hint="default" w:ascii="Arial" w:hAnsi="Arial" w:cs="Arial"/>
          <w:b w:val="0"/>
          <w:bCs w:val="0"/>
          <w:lang w:val="es-ES"/>
        </w:rPr>
        <w:t xml:space="preserve">reduce la </w:t>
      </w:r>
      <w:r>
        <w:rPr>
          <w:rFonts w:hint="default" w:ascii="Arial" w:hAnsi="Arial" w:cs="Arial"/>
          <w:b w:val="0"/>
          <w:bCs w:val="0"/>
          <w:lang w:val="es-PE"/>
        </w:rPr>
        <w:t xml:space="preserve">eficiencia </w:t>
      </w:r>
      <w:r>
        <w:rPr>
          <w:rFonts w:hint="default" w:ascii="Arial" w:hAnsi="Arial" w:cs="Arial"/>
          <w:b w:val="0"/>
          <w:bCs w:val="0"/>
          <w:lang w:val="es-ES"/>
        </w:rPr>
        <w:t xml:space="preserve">y la </w:t>
      </w:r>
      <w:r>
        <w:rPr>
          <w:rFonts w:hint="default" w:ascii="Arial" w:hAnsi="Arial" w:cs="Arial"/>
          <w:b w:val="0"/>
          <w:bCs w:val="0"/>
          <w:lang w:val="es-PE"/>
        </w:rPr>
        <w:t>competitividad.</w:t>
      </w:r>
    </w:p>
    <w:p w14:paraId="5163EA68">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ES"/>
        </w:rPr>
        <w:t>-</w:t>
      </w:r>
      <w:r>
        <w:rPr>
          <w:rFonts w:hint="default" w:ascii="Arial" w:hAnsi="Arial" w:cs="Arial"/>
          <w:b w:val="0"/>
          <w:bCs w:val="0"/>
          <w:lang w:val="es-PE"/>
        </w:rPr>
        <w:t xml:space="preserve">Brechas </w:t>
      </w:r>
      <w:r>
        <w:rPr>
          <w:rFonts w:hint="default" w:ascii="Arial" w:hAnsi="Arial" w:cs="Arial"/>
          <w:b w:val="0"/>
          <w:bCs w:val="0"/>
          <w:lang w:val="es-ES"/>
        </w:rPr>
        <w:t xml:space="preserve">en la </w:t>
      </w:r>
      <w:r>
        <w:rPr>
          <w:rFonts w:hint="default" w:ascii="Arial" w:hAnsi="Arial" w:cs="Arial"/>
          <w:b w:val="0"/>
          <w:bCs w:val="0"/>
          <w:lang w:val="es-PE"/>
        </w:rPr>
        <w:t xml:space="preserve">gobernanza comunal, que afectan la transparencia </w:t>
      </w:r>
      <w:r>
        <w:rPr>
          <w:rFonts w:hint="default" w:ascii="Arial" w:hAnsi="Arial" w:cs="Arial"/>
          <w:b w:val="0"/>
          <w:bCs w:val="0"/>
          <w:lang w:val="es-ES"/>
        </w:rPr>
        <w:t xml:space="preserve">y la </w:t>
      </w:r>
      <w:r>
        <w:rPr>
          <w:rFonts w:hint="default" w:ascii="Arial" w:hAnsi="Arial" w:cs="Arial"/>
          <w:b w:val="0"/>
          <w:bCs w:val="0"/>
          <w:lang w:val="es-PE"/>
        </w:rPr>
        <w:t>participación de los socios.</w:t>
      </w:r>
    </w:p>
    <w:p w14:paraId="0B06A199">
      <w:pPr>
        <w:pStyle w:val="13"/>
        <w:numPr>
          <w:ilvl w:val="0"/>
          <w:numId w:val="0"/>
        </w:numPr>
        <w:spacing w:line="360" w:lineRule="auto"/>
        <w:ind w:left="360" w:leftChars="0"/>
        <w:jc w:val="both"/>
        <w:rPr>
          <w:rFonts w:hint="default" w:ascii="Arial" w:hAnsi="Arial" w:cs="Arial"/>
          <w:b w:val="0"/>
          <w:bCs w:val="0"/>
          <w:lang w:val="es-PE"/>
        </w:rPr>
      </w:pPr>
    </w:p>
    <w:p w14:paraId="33C96421">
      <w:pPr>
        <w:pStyle w:val="13"/>
        <w:numPr>
          <w:ilvl w:val="0"/>
          <w:numId w:val="0"/>
        </w:numPr>
        <w:spacing w:line="360" w:lineRule="auto"/>
        <w:ind w:left="360" w:leftChars="0"/>
        <w:jc w:val="both"/>
        <w:rPr>
          <w:rFonts w:hint="default" w:ascii="Arial" w:hAnsi="Arial" w:cs="Arial"/>
          <w:b w:val="0"/>
          <w:bCs w:val="0"/>
          <w:lang w:val="es-PE"/>
        </w:rPr>
      </w:pPr>
      <w:r>
        <w:rPr>
          <w:rFonts w:hint="default" w:ascii="Arial" w:hAnsi="Arial" w:cs="Arial"/>
          <w:b w:val="0"/>
          <w:bCs w:val="0"/>
          <w:lang w:val="es-PE"/>
        </w:rPr>
        <w:t xml:space="preserve">Este diagnóstico evidencia la necesidad de un modelo de gestión que integre administración moderna y tecnología aplicada para </w:t>
      </w:r>
      <w:r>
        <w:rPr>
          <w:rFonts w:hint="default" w:ascii="Arial" w:hAnsi="Arial" w:cs="Arial"/>
          <w:b w:val="0"/>
          <w:bCs w:val="0"/>
          <w:lang w:val="es-ES"/>
        </w:rPr>
        <w:t xml:space="preserve">garantizar la </w:t>
      </w:r>
      <w:r>
        <w:rPr>
          <w:rFonts w:hint="default" w:ascii="Arial" w:hAnsi="Arial" w:cs="Arial"/>
          <w:b w:val="0"/>
          <w:bCs w:val="0"/>
          <w:lang w:val="es-PE"/>
        </w:rPr>
        <w:t>sostenibilidad.</w:t>
      </w:r>
    </w:p>
    <w:p w14:paraId="55E55417">
      <w:pPr>
        <w:pStyle w:val="13"/>
        <w:numPr>
          <w:ilvl w:val="0"/>
          <w:numId w:val="0"/>
        </w:numPr>
        <w:spacing w:line="360" w:lineRule="auto"/>
        <w:ind w:left="360" w:leftChars="0"/>
        <w:jc w:val="both"/>
        <w:rPr>
          <w:rFonts w:hint="default" w:ascii="Arial" w:hAnsi="Arial" w:cs="Arial"/>
          <w:b w:val="0"/>
          <w:bCs w:val="0"/>
          <w:lang w:val="es-PE"/>
        </w:rPr>
      </w:pPr>
    </w:p>
    <w:p w14:paraId="6D829201">
      <w:pPr>
        <w:pStyle w:val="13"/>
        <w:numPr>
          <w:ilvl w:val="0"/>
          <w:numId w:val="2"/>
        </w:numPr>
        <w:spacing w:line="360" w:lineRule="auto"/>
        <w:rPr>
          <w:rFonts w:ascii="Arial" w:hAnsi="Arial" w:cs="Arial"/>
          <w:b/>
          <w:bCs/>
        </w:rPr>
      </w:pPr>
      <w:r>
        <w:rPr>
          <w:rFonts w:ascii="Arial" w:hAnsi="Arial" w:cs="Arial"/>
          <w:b/>
          <w:bCs/>
        </w:rPr>
        <w:t>Identificación y Descripción del Problema de Estudio</w:t>
      </w:r>
    </w:p>
    <w:p w14:paraId="4565F1EF">
      <w:pPr>
        <w:pStyle w:val="13"/>
        <w:numPr>
          <w:ilvl w:val="0"/>
          <w:numId w:val="0"/>
        </w:numPr>
        <w:spacing w:line="360" w:lineRule="auto"/>
        <w:ind w:left="360" w:leftChars="0"/>
        <w:rPr>
          <w:rFonts w:ascii="Arial" w:hAnsi="Arial" w:cs="Arial"/>
          <w:b/>
          <w:bCs/>
        </w:rPr>
      </w:pPr>
    </w:p>
    <w:p w14:paraId="058F926E">
      <w:pPr>
        <w:pStyle w:val="13"/>
        <w:numPr>
          <w:ilvl w:val="0"/>
          <w:numId w:val="0"/>
        </w:numPr>
        <w:spacing w:line="360" w:lineRule="auto"/>
        <w:ind w:left="360" w:leftChars="0" w:firstLine="2818" w:firstLineChars="0"/>
        <w:jc w:val="both"/>
        <w:rPr>
          <w:rFonts w:hint="default" w:ascii="Arial" w:hAnsi="Arial" w:cs="Arial"/>
          <w:b w:val="0"/>
          <w:bCs w:val="0"/>
        </w:rPr>
      </w:pPr>
      <w:r>
        <w:rPr>
          <w:rFonts w:hint="default" w:ascii="Arial" w:hAnsi="Arial" w:cs="Arial"/>
          <w:b w:val="0"/>
          <w:bCs w:val="0"/>
        </w:rPr>
        <w:t>El problema central radica en que las ESMC de</w:t>
      </w:r>
      <w:r>
        <w:rPr>
          <w:rFonts w:hint="default" w:ascii="Arial" w:hAnsi="Arial" w:cs="Arial"/>
          <w:b w:val="0"/>
          <w:bCs w:val="0"/>
          <w:lang w:val="es-ES"/>
        </w:rPr>
        <w:t>l</w:t>
      </w:r>
      <w:r>
        <w:rPr>
          <w:rFonts w:hint="default" w:ascii="Arial" w:hAnsi="Arial" w:cs="Arial"/>
          <w:b w:val="0"/>
          <w:bCs w:val="0"/>
        </w:rPr>
        <w:t xml:space="preserve"> P</w:t>
      </w:r>
      <w:r>
        <w:rPr>
          <w:rFonts w:hint="default" w:ascii="Arial" w:hAnsi="Arial" w:cs="Arial"/>
          <w:b w:val="0"/>
          <w:bCs w:val="0"/>
          <w:lang w:val="es-ES"/>
        </w:rPr>
        <w:t>erú</w:t>
      </w:r>
      <w:r>
        <w:rPr>
          <w:rFonts w:hint="default" w:ascii="Arial" w:hAnsi="Arial" w:cs="Arial"/>
          <w:b w:val="0"/>
          <w:bCs w:val="0"/>
        </w:rPr>
        <w:t>, pese a su rol estratégico en la cadena de valor minera, no cuentan con un modelo de gestión integral que les permita:</w:t>
      </w:r>
    </w:p>
    <w:p w14:paraId="01044211">
      <w:pPr>
        <w:pStyle w:val="13"/>
        <w:numPr>
          <w:ilvl w:val="0"/>
          <w:numId w:val="0"/>
        </w:numPr>
        <w:spacing w:line="360" w:lineRule="auto"/>
        <w:ind w:left="360" w:leftChars="0"/>
        <w:jc w:val="both"/>
        <w:rPr>
          <w:rFonts w:hint="default" w:ascii="Arial" w:hAnsi="Arial" w:cs="Arial"/>
          <w:b w:val="0"/>
          <w:bCs w:val="0"/>
        </w:rPr>
      </w:pPr>
      <w:r>
        <w:rPr>
          <w:rFonts w:hint="default" w:ascii="Arial" w:hAnsi="Arial" w:cs="Arial"/>
          <w:b w:val="0"/>
          <w:bCs w:val="0"/>
          <w:lang w:val="es-ES"/>
        </w:rPr>
        <w:t xml:space="preserve">-Asegurar la </w:t>
      </w:r>
      <w:r>
        <w:rPr>
          <w:rFonts w:hint="default" w:ascii="Arial" w:hAnsi="Arial" w:cs="Arial"/>
          <w:b w:val="0"/>
          <w:bCs w:val="0"/>
        </w:rPr>
        <w:t>estabilidad financiera frente a la variabilidad de la demanda minera.</w:t>
      </w:r>
    </w:p>
    <w:p w14:paraId="5F694831">
      <w:pPr>
        <w:pStyle w:val="13"/>
        <w:numPr>
          <w:ilvl w:val="0"/>
          <w:numId w:val="0"/>
        </w:numPr>
        <w:spacing w:line="360" w:lineRule="auto"/>
        <w:ind w:left="360" w:leftChars="0"/>
        <w:jc w:val="both"/>
        <w:rPr>
          <w:rFonts w:hint="default" w:ascii="Arial" w:hAnsi="Arial" w:cs="Arial"/>
          <w:b w:val="0"/>
          <w:bCs w:val="0"/>
        </w:rPr>
      </w:pPr>
      <w:r>
        <w:rPr>
          <w:rFonts w:hint="default" w:ascii="Arial" w:hAnsi="Arial" w:cs="Arial"/>
          <w:b w:val="0"/>
          <w:bCs w:val="0"/>
          <w:lang w:val="es-ES"/>
        </w:rPr>
        <w:t>-</w:t>
      </w:r>
      <w:r>
        <w:rPr>
          <w:rFonts w:hint="default" w:ascii="Arial" w:hAnsi="Arial" w:cs="Arial"/>
          <w:b w:val="0"/>
          <w:bCs w:val="0"/>
        </w:rPr>
        <w:t>Incorporar innovación tecnológica en procesos operativos y de gestión.</w:t>
      </w:r>
    </w:p>
    <w:p w14:paraId="73E98871">
      <w:pPr>
        <w:pStyle w:val="13"/>
        <w:numPr>
          <w:ilvl w:val="0"/>
          <w:numId w:val="0"/>
        </w:numPr>
        <w:spacing w:line="360" w:lineRule="auto"/>
        <w:ind w:left="360" w:leftChars="0"/>
        <w:jc w:val="both"/>
        <w:rPr>
          <w:rFonts w:hint="default" w:ascii="Arial" w:hAnsi="Arial" w:cs="Arial"/>
          <w:b w:val="0"/>
          <w:bCs w:val="0"/>
        </w:rPr>
      </w:pPr>
      <w:r>
        <w:rPr>
          <w:rFonts w:hint="default" w:ascii="Arial" w:hAnsi="Arial" w:cs="Arial"/>
          <w:b w:val="0"/>
          <w:bCs w:val="0"/>
          <w:lang w:val="es-ES"/>
        </w:rPr>
        <w:t>-</w:t>
      </w:r>
      <w:r>
        <w:rPr>
          <w:rFonts w:hint="default" w:ascii="Arial" w:hAnsi="Arial" w:cs="Arial"/>
          <w:b w:val="0"/>
          <w:bCs w:val="0"/>
        </w:rPr>
        <w:t>Fortalecer la gobernanza comunal y la participación ciudadana.</w:t>
      </w:r>
    </w:p>
    <w:p w14:paraId="5D0C0F88">
      <w:pPr>
        <w:pStyle w:val="13"/>
        <w:numPr>
          <w:ilvl w:val="0"/>
          <w:numId w:val="0"/>
        </w:numPr>
        <w:spacing w:line="360" w:lineRule="auto"/>
        <w:ind w:left="360" w:leftChars="0"/>
        <w:jc w:val="both"/>
        <w:rPr>
          <w:rFonts w:hint="default" w:ascii="Arial" w:hAnsi="Arial" w:cs="Arial"/>
          <w:b w:val="0"/>
          <w:bCs w:val="0"/>
        </w:rPr>
      </w:pPr>
      <w:r>
        <w:rPr>
          <w:rFonts w:hint="default" w:ascii="Arial" w:hAnsi="Arial" w:cs="Arial"/>
          <w:b w:val="0"/>
          <w:bCs w:val="0"/>
          <w:lang w:val="es-ES"/>
        </w:rPr>
        <w:t>-</w:t>
      </w:r>
      <w:r>
        <w:rPr>
          <w:rFonts w:hint="default" w:ascii="Arial" w:hAnsi="Arial" w:cs="Arial"/>
          <w:b w:val="0"/>
          <w:bCs w:val="0"/>
        </w:rPr>
        <w:t xml:space="preserve">Cumplir </w:t>
      </w:r>
      <w:r>
        <w:rPr>
          <w:rFonts w:hint="default" w:ascii="Arial" w:hAnsi="Arial" w:cs="Arial"/>
          <w:b w:val="0"/>
          <w:bCs w:val="0"/>
          <w:lang w:val="es-ES"/>
        </w:rPr>
        <w:t xml:space="preserve">con los </w:t>
      </w:r>
      <w:r>
        <w:rPr>
          <w:rFonts w:hint="default" w:ascii="Arial" w:hAnsi="Arial" w:cs="Arial"/>
          <w:b w:val="0"/>
          <w:bCs w:val="0"/>
        </w:rPr>
        <w:t>estándares ambientales y normativos exigidos por la autoridad minera.</w:t>
      </w:r>
    </w:p>
    <w:p w14:paraId="5AB3B0BF">
      <w:pPr>
        <w:pStyle w:val="13"/>
        <w:numPr>
          <w:ilvl w:val="0"/>
          <w:numId w:val="0"/>
        </w:numPr>
        <w:spacing w:line="360" w:lineRule="auto"/>
        <w:ind w:left="360" w:leftChars="0"/>
        <w:jc w:val="both"/>
        <w:rPr>
          <w:rFonts w:hint="default" w:ascii="Arial" w:hAnsi="Arial" w:cs="Arial"/>
          <w:b w:val="0"/>
          <w:bCs w:val="0"/>
        </w:rPr>
      </w:pPr>
    </w:p>
    <w:p w14:paraId="54FB1C65">
      <w:pPr>
        <w:pStyle w:val="13"/>
        <w:numPr>
          <w:ilvl w:val="0"/>
          <w:numId w:val="0"/>
        </w:numPr>
        <w:spacing w:line="360" w:lineRule="auto"/>
        <w:ind w:left="360" w:leftChars="0"/>
        <w:jc w:val="both"/>
        <w:rPr>
          <w:rFonts w:hint="default" w:ascii="Arial" w:hAnsi="Arial" w:cs="Arial"/>
          <w:b w:val="0"/>
          <w:bCs w:val="0"/>
        </w:rPr>
      </w:pPr>
      <w:r>
        <w:rPr>
          <w:rFonts w:hint="default" w:ascii="Arial" w:hAnsi="Arial" w:cs="Arial"/>
          <w:b w:val="0"/>
          <w:bCs w:val="0"/>
        </w:rPr>
        <w:t>La ausencia de este modelo limita su capacidad de generar desarrollo comunal sostenible y las expone a riesgos de exclusión en el mercado minero.</w:t>
      </w:r>
    </w:p>
    <w:p w14:paraId="7AB60C98">
      <w:pPr>
        <w:pStyle w:val="13"/>
        <w:numPr>
          <w:ilvl w:val="0"/>
          <w:numId w:val="0"/>
        </w:numPr>
        <w:spacing w:line="360" w:lineRule="auto"/>
        <w:ind w:left="360" w:leftChars="0"/>
        <w:jc w:val="both"/>
        <w:rPr>
          <w:rFonts w:hint="default" w:ascii="Arial" w:hAnsi="Arial" w:cs="Arial"/>
          <w:b w:val="0"/>
          <w:bCs w:val="0"/>
        </w:rPr>
      </w:pPr>
      <w:r>
        <w:drawing>
          <wp:inline distT="0" distB="0" distL="114300" distR="114300">
            <wp:extent cx="5176520" cy="2991485"/>
            <wp:effectExtent l="0" t="0" r="508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tretch>
                      <a:fillRect/>
                    </a:stretch>
                  </pic:blipFill>
                  <pic:spPr>
                    <a:xfrm>
                      <a:off x="0" y="0"/>
                      <a:ext cx="5176520" cy="2991485"/>
                    </a:xfrm>
                    <a:prstGeom prst="rect">
                      <a:avLst/>
                    </a:prstGeom>
                    <a:noFill/>
                    <a:ln>
                      <a:noFill/>
                    </a:ln>
                  </pic:spPr>
                </pic:pic>
              </a:graphicData>
            </a:graphic>
          </wp:inline>
        </w:drawing>
      </w:r>
    </w:p>
    <w:p w14:paraId="64E46991">
      <w:pPr>
        <w:pStyle w:val="13"/>
        <w:numPr>
          <w:ilvl w:val="0"/>
          <w:numId w:val="0"/>
        </w:numPr>
        <w:spacing w:line="360" w:lineRule="auto"/>
        <w:ind w:left="360" w:leftChars="0"/>
        <w:jc w:val="both"/>
        <w:rPr>
          <w:rFonts w:hint="default" w:ascii="Arial" w:hAnsi="Arial" w:cs="Arial"/>
          <w:b w:val="0"/>
          <w:bCs w:val="0"/>
        </w:rPr>
      </w:pPr>
    </w:p>
    <w:p w14:paraId="7BD2D9EB">
      <w:pPr>
        <w:pStyle w:val="13"/>
        <w:numPr>
          <w:ilvl w:val="0"/>
          <w:numId w:val="0"/>
        </w:numPr>
        <w:spacing w:line="360" w:lineRule="auto"/>
        <w:ind w:left="360" w:leftChars="0"/>
        <w:jc w:val="both"/>
        <w:rPr>
          <w:rFonts w:hint="default" w:ascii="Arial" w:hAnsi="Arial" w:cs="Arial"/>
          <w:b w:val="0"/>
          <w:bCs w:val="0"/>
        </w:rPr>
      </w:pPr>
    </w:p>
    <w:p w14:paraId="1FE2943B">
      <w:pPr>
        <w:pStyle w:val="13"/>
        <w:numPr>
          <w:ilvl w:val="0"/>
          <w:numId w:val="0"/>
        </w:numPr>
        <w:spacing w:line="360" w:lineRule="auto"/>
        <w:ind w:left="360" w:leftChars="0"/>
        <w:rPr>
          <w:rFonts w:hint="default" w:ascii="Arial" w:hAnsi="Arial" w:cs="Arial"/>
          <w:b/>
          <w:bCs/>
        </w:rPr>
      </w:pPr>
    </w:p>
    <w:p w14:paraId="2B3C3097">
      <w:pPr>
        <w:pStyle w:val="13"/>
        <w:numPr>
          <w:ilvl w:val="0"/>
          <w:numId w:val="2"/>
        </w:numPr>
        <w:spacing w:line="360" w:lineRule="auto"/>
        <w:rPr>
          <w:rFonts w:ascii="Arial" w:hAnsi="Arial" w:cs="Arial"/>
          <w:b/>
          <w:bCs/>
          <w:lang w:val="es-PE"/>
        </w:rPr>
      </w:pPr>
      <w:r>
        <w:rPr>
          <w:rFonts w:ascii="Arial" w:hAnsi="Arial" w:cs="Arial"/>
          <w:b/>
          <w:bCs/>
        </w:rPr>
        <w:t>Tema de Investigación</w:t>
      </w:r>
    </w:p>
    <w:p w14:paraId="3016110F">
      <w:pPr>
        <w:pStyle w:val="13"/>
        <w:numPr>
          <w:ilvl w:val="0"/>
          <w:numId w:val="0"/>
        </w:numPr>
        <w:spacing w:line="360" w:lineRule="auto"/>
        <w:ind w:left="360" w:leftChars="0" w:firstLine="2818" w:firstLineChars="0"/>
        <w:jc w:val="both"/>
        <w:rPr>
          <w:rFonts w:hint="default" w:ascii="Arial" w:hAnsi="Arial" w:cs="Arial"/>
          <w:lang w:val="es-PE"/>
        </w:rPr>
      </w:pPr>
      <w:r>
        <w:rPr>
          <w:rFonts w:hint="default" w:ascii="Arial" w:hAnsi="Arial" w:cs="Arial"/>
          <w:lang w:val="es-PE"/>
        </w:rPr>
        <w:t>Diseño de un modelo de gestión administrativa y tecnológica para empresas de servicios múltiples comunales que brindan servicios a la minería en Pasco, orientado a la sostenibilidad económica, social y ambiental.</w:t>
      </w:r>
    </w:p>
    <w:p w14:paraId="1C9BE98E">
      <w:pPr>
        <w:pStyle w:val="13"/>
        <w:numPr>
          <w:ilvl w:val="0"/>
          <w:numId w:val="0"/>
        </w:numPr>
        <w:spacing w:line="360" w:lineRule="auto"/>
        <w:ind w:left="360" w:leftChars="0"/>
        <w:jc w:val="both"/>
        <w:rPr>
          <w:rFonts w:hint="default" w:ascii="Arial" w:hAnsi="Arial" w:cs="Arial"/>
          <w:lang w:val="es-PE"/>
        </w:rPr>
      </w:pPr>
    </w:p>
    <w:p w14:paraId="6BA2FAE2">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PE"/>
        </w:rPr>
        <w:t>Este tema articula tres dimensiones:</w:t>
      </w:r>
    </w:p>
    <w:p w14:paraId="63E0224A">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Administración estratégica: profesionalización de la gestión y diversificación económica.</w:t>
      </w:r>
    </w:p>
    <w:p w14:paraId="79DD24D2">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 xml:space="preserve">Tecnología aplicada: digitalización de procesos, uso de ERP, IoT </w:t>
      </w:r>
      <w:r>
        <w:rPr>
          <w:rFonts w:hint="default" w:ascii="Arial" w:hAnsi="Arial" w:cs="Arial"/>
          <w:lang w:val="es-ES"/>
        </w:rPr>
        <w:t xml:space="preserve">para el </w:t>
      </w:r>
      <w:r>
        <w:rPr>
          <w:rFonts w:hint="default" w:ascii="Arial" w:hAnsi="Arial" w:cs="Arial"/>
          <w:lang w:val="es-PE"/>
        </w:rPr>
        <w:t>mantenimiento predictivo y plataformas de gestión ambiental.</w:t>
      </w:r>
    </w:p>
    <w:p w14:paraId="7D5F1E3F">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 xml:space="preserve">Sostenibilidad: alineación con el </w:t>
      </w:r>
      <w:r>
        <w:rPr>
          <w:rFonts w:hint="default" w:ascii="Arial" w:hAnsi="Arial" w:cs="Arial"/>
          <w:lang w:val="es-ES"/>
        </w:rPr>
        <w:t xml:space="preserve">enfoque de </w:t>
      </w:r>
      <w:r>
        <w:rPr>
          <w:rFonts w:hint="default" w:ascii="Arial" w:hAnsi="Arial" w:cs="Arial"/>
          <w:lang w:val="es-PE"/>
        </w:rPr>
        <w:t>triple bottom line (económico, social, ambiental) y cumplimiento normativo.</w:t>
      </w:r>
    </w:p>
    <w:p w14:paraId="2A7B8E23">
      <w:pPr>
        <w:pStyle w:val="13"/>
        <w:numPr>
          <w:ilvl w:val="0"/>
          <w:numId w:val="0"/>
        </w:numPr>
        <w:spacing w:line="360" w:lineRule="auto"/>
        <w:ind w:left="360" w:leftChars="0"/>
        <w:jc w:val="both"/>
        <w:rPr>
          <w:rFonts w:hint="default" w:ascii="Arial" w:hAnsi="Arial" w:cs="Arial"/>
          <w:lang w:val="es-PE"/>
        </w:rPr>
      </w:pPr>
      <w:r>
        <w:drawing>
          <wp:inline distT="0" distB="0" distL="114300" distR="114300">
            <wp:extent cx="5225415" cy="3406775"/>
            <wp:effectExtent l="0" t="0" r="190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5225415" cy="3406775"/>
                    </a:xfrm>
                    <a:prstGeom prst="rect">
                      <a:avLst/>
                    </a:prstGeom>
                    <a:noFill/>
                    <a:ln>
                      <a:noFill/>
                    </a:ln>
                  </pic:spPr>
                </pic:pic>
              </a:graphicData>
            </a:graphic>
          </wp:inline>
        </w:drawing>
      </w:r>
    </w:p>
    <w:p w14:paraId="2C56E4C5">
      <w:pPr>
        <w:pStyle w:val="13"/>
        <w:numPr>
          <w:ilvl w:val="0"/>
          <w:numId w:val="0"/>
        </w:numPr>
        <w:spacing w:line="360" w:lineRule="auto"/>
        <w:ind w:left="360" w:leftChars="0"/>
        <w:rPr>
          <w:rFonts w:hint="default" w:ascii="Arial" w:hAnsi="Arial" w:cs="Arial"/>
          <w:b/>
          <w:bCs/>
          <w:lang w:val="es-PE"/>
        </w:rPr>
      </w:pPr>
    </w:p>
    <w:p w14:paraId="0FE4BFA4">
      <w:pPr>
        <w:pStyle w:val="13"/>
        <w:numPr>
          <w:ilvl w:val="0"/>
          <w:numId w:val="2"/>
        </w:numPr>
        <w:spacing w:line="360" w:lineRule="auto"/>
        <w:rPr>
          <w:rFonts w:ascii="Arial" w:hAnsi="Arial" w:cs="Arial"/>
          <w:b/>
          <w:bCs/>
          <w:lang w:val="es-PE"/>
        </w:rPr>
      </w:pPr>
      <w:r>
        <w:rPr>
          <w:rFonts w:ascii="Arial" w:hAnsi="Arial" w:cs="Arial"/>
          <w:b/>
          <w:bCs/>
        </w:rPr>
        <w:t>Referencias Bibliográficas</w:t>
      </w:r>
    </w:p>
    <w:p w14:paraId="72744254">
      <w:pPr>
        <w:pStyle w:val="13"/>
        <w:numPr>
          <w:ilvl w:val="0"/>
          <w:numId w:val="0"/>
        </w:numPr>
        <w:spacing w:line="360" w:lineRule="auto"/>
        <w:ind w:left="360" w:leftChars="0"/>
        <w:rPr>
          <w:rFonts w:ascii="Arial" w:hAnsi="Arial" w:cs="Arial"/>
          <w:lang w:val="es-PE"/>
        </w:rPr>
      </w:pPr>
    </w:p>
    <w:p w14:paraId="4E3FF9F1">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Porter, M. (1985). Competitive Advantage: Creating and Sustaining Superior Performance. Free Press.</w:t>
      </w:r>
    </w:p>
    <w:p w14:paraId="082669C7">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Elkington, J. (1997). Cannibals with Forks: The Triple Bottom Line of 21st Century Business. Capstone.</w:t>
      </w:r>
    </w:p>
    <w:p w14:paraId="381A81C4">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Mintzberg, H. (2009). Managing. Berrett-Koehler Publishers.</w:t>
      </w:r>
    </w:p>
    <w:p w14:paraId="39A27626">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Ministerio de Energía y Minas (2019). Decreto Supremo N° 013-2019-EM: Lineamientos para Programas de Adecuación y Manejo Ambiental (PAD).</w:t>
      </w:r>
    </w:p>
    <w:p w14:paraId="54F51978">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Ministerio de Energía y Minas (2024). Decreto Supremo N° 014-2024-EM: Actualización de estándares de gestión ambiental en minería.</w:t>
      </w:r>
    </w:p>
    <w:p w14:paraId="0365B580">
      <w:pPr>
        <w:pStyle w:val="13"/>
        <w:numPr>
          <w:ilvl w:val="0"/>
          <w:numId w:val="0"/>
        </w:numPr>
        <w:spacing w:line="360" w:lineRule="auto"/>
        <w:ind w:left="360" w:leftChars="0"/>
        <w:jc w:val="both"/>
        <w:rPr>
          <w:rFonts w:hint="default" w:ascii="Arial" w:hAnsi="Arial" w:cs="Arial"/>
          <w:lang w:val="es-PE"/>
        </w:rPr>
      </w:pPr>
      <w:r>
        <w:rPr>
          <w:rFonts w:hint="default" w:ascii="Arial" w:hAnsi="Arial" w:cs="Arial"/>
          <w:lang w:val="es-ES"/>
        </w:rPr>
        <w:t>-</w:t>
      </w:r>
      <w:r>
        <w:rPr>
          <w:rFonts w:hint="default" w:ascii="Arial" w:hAnsi="Arial" w:cs="Arial"/>
          <w:lang w:val="es-PE"/>
        </w:rPr>
        <w:t>Bebbington, A. (2012). Social Conflict, Economic Development and Extractive Industry: Evidence from South America. Routledge.</w:t>
      </w:r>
    </w:p>
    <w:p w14:paraId="1379A3A7">
      <w:pPr>
        <w:pStyle w:val="13"/>
        <w:numPr>
          <w:ilvl w:val="0"/>
          <w:numId w:val="0"/>
        </w:numPr>
        <w:spacing w:line="360" w:lineRule="auto"/>
        <w:ind w:left="360" w:leftChars="0"/>
        <w:jc w:val="both"/>
        <w:rPr>
          <w:rFonts w:ascii="Arial" w:hAnsi="Arial" w:cs="Arial"/>
          <w:lang w:val="es-PE"/>
        </w:rPr>
      </w:pPr>
      <w:r>
        <w:rPr>
          <w:rFonts w:hint="default" w:ascii="Arial" w:hAnsi="Arial" w:cs="Arial"/>
          <w:lang w:val="es-ES"/>
        </w:rPr>
        <w:t>-</w:t>
      </w:r>
      <w:r>
        <w:rPr>
          <w:rFonts w:hint="default" w:ascii="Arial" w:hAnsi="Arial" w:cs="Arial"/>
          <w:lang w:val="es-PE"/>
        </w:rPr>
        <w:t>OEFA (2023). Informe de supervisión ambiental en minería – Región Pasco.</w:t>
      </w:r>
    </w:p>
    <w:p w14:paraId="6D0FB517">
      <w:pPr>
        <w:pStyle w:val="13"/>
        <w:jc w:val="both"/>
        <w:rPr>
          <w:rFonts w:ascii="Arial" w:hAnsi="Arial" w:cs="Arial"/>
          <w:sz w:val="24"/>
          <w:szCs w:val="24"/>
        </w:rPr>
      </w:pPr>
    </w:p>
    <w:sectPr>
      <w:headerReference r:id="rId5" w:type="default"/>
      <w:footerReference r:id="rId6" w:type="default"/>
      <w:pgSz w:w="11906" w:h="16838"/>
      <w:pgMar w:top="2127" w:right="1701" w:bottom="1418" w:left="1701" w:header="709" w:footer="851"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Futura XBlkCn BT">
    <w:altName w:val="Arial"/>
    <w:panose1 w:val="00000000000000000000"/>
    <w:charset w:val="00"/>
    <w:family w:val="swiss"/>
    <w:pitch w:val="default"/>
    <w:sig w:usb0="00000000" w:usb1="00000000" w:usb2="00000000" w:usb3="00000000" w:csb0="0000001B" w:csb1="00000000"/>
  </w:font>
  <w:font w:name="Futura BdCn BT">
    <w:altName w:val="Franklin Gothic Demi Cond"/>
    <w:panose1 w:val="00000000000000000000"/>
    <w:charset w:val="00"/>
    <w:family w:val="swiss"/>
    <w:pitch w:val="default"/>
    <w:sig w:usb0="00000000" w:usb1="00000000" w:usb2="00000000" w:usb3="00000000" w:csb0="0000001B" w:csb1="00000000"/>
  </w:font>
  <w:font w:name="Franklin Gothic Demi Cond">
    <w:panose1 w:val="020B07060304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221FA">
    <w:pPr>
      <w:pStyle w:val="10"/>
    </w:pPr>
    <w:r>
      <mc:AlternateContent>
        <mc:Choice Requires="wps">
          <w:drawing>
            <wp:anchor distT="0" distB="0" distL="114300" distR="114300" simplePos="0" relativeHeight="251664384" behindDoc="0" locked="0" layoutInCell="1" allowOverlap="1">
              <wp:simplePos x="0" y="0"/>
              <wp:positionH relativeFrom="column">
                <wp:posOffset>91440</wp:posOffset>
              </wp:positionH>
              <wp:positionV relativeFrom="paragraph">
                <wp:posOffset>-179705</wp:posOffset>
              </wp:positionV>
              <wp:extent cx="4883150" cy="676275"/>
              <wp:effectExtent l="0" t="0" r="3175" b="4445"/>
              <wp:wrapNone/>
              <wp:docPr id="1340138019"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4883150" cy="676275"/>
                      </a:xfrm>
                      <a:prstGeom prst="rect">
                        <a:avLst/>
                      </a:prstGeom>
                      <a:solidFill>
                        <a:srgbClr val="FFFFFF"/>
                      </a:solidFill>
                      <a:ln>
                        <a:noFill/>
                      </a:ln>
                    </wps:spPr>
                    <wps:txbx>
                      <w:txbxContent>
                        <w:p w14:paraId="05C9C614">
                          <w:pPr>
                            <w:tabs>
                              <w:tab w:val="center" w:pos="4252"/>
                              <w:tab w:val="right" w:pos="8504"/>
                            </w:tabs>
                            <w:ind w:left="317" w:hanging="283"/>
                            <w:rPr>
                              <w:rFonts w:hint="default" w:ascii="Calibri" w:hAnsi="Calibri"/>
                              <w:sz w:val="20"/>
                              <w:szCs w:val="20"/>
                              <w:lang w:val="es-ES"/>
                            </w:rPr>
                          </w:pPr>
                          <w:r>
                            <w:rPr>
                              <w:rFonts w:ascii="Calibri" w:hAnsi="Calibri"/>
                              <w:sz w:val="20"/>
                              <w:szCs w:val="20"/>
                              <w:lang w:val="pt-PT"/>
                            </w:rPr>
                            <w:t xml:space="preserve">Av. Túpac Amaru N° 210 Rímac, Lima 25 – </w:t>
                          </w:r>
                        </w:p>
                        <w:p w14:paraId="28C0A9BC">
                          <w:pPr>
                            <w:tabs>
                              <w:tab w:val="center" w:pos="4252"/>
                              <w:tab w:val="right" w:pos="8504"/>
                            </w:tabs>
                            <w:ind w:left="317" w:hanging="283"/>
                            <w:rPr>
                              <w:rFonts w:ascii="Calibri" w:hAnsi="Calibri"/>
                              <w:sz w:val="20"/>
                              <w:szCs w:val="20"/>
                              <w:lang w:val="es-PE"/>
                            </w:rPr>
                          </w:pPr>
                          <w:r>
                            <w:rPr>
                              <w:rFonts w:ascii="Calibri" w:hAnsi="Calibri"/>
                              <w:sz w:val="20"/>
                              <w:szCs w:val="20"/>
                              <w:lang w:val="es-PE"/>
                            </w:rPr>
                            <w:t>Teléfono: (511) 381-3826 - Central Telefónica: (511) 481-1070 Anexo: 3401</w:t>
                          </w:r>
                        </w:p>
                        <w:p w14:paraId="023C5B2E">
                          <w:pPr>
                            <w:rPr>
                              <w:rFonts w:ascii="Futura BdCn BT" w:hAnsi="Futura BdCn BT"/>
                              <w:color w:val="404040"/>
                              <w:sz w:val="18"/>
                              <w:szCs w:val="18"/>
                              <w:lang w:val="pt-PT"/>
                            </w:rPr>
                          </w:pPr>
                          <w:r>
                            <w:rPr>
                              <w:rFonts w:ascii="Calibri" w:hAnsi="Calibri"/>
                              <w:sz w:val="20"/>
                              <w:szCs w:val="20"/>
                              <w:lang w:val="pt-PT"/>
                            </w:rPr>
                            <w:t>Web: posgrado.uni.edu.pe  E-mail: posgrado@uni.edu.pe</w:t>
                          </w:r>
                        </w:p>
                      </w:txbxContent>
                    </wps:txbx>
                    <wps:bodyPr rot="0" vert="horz" wrap="square" lIns="91440" tIns="45720" rIns="91440" bIns="45720" anchor="t" anchorCtr="0" upright="1">
                      <a:noAutofit/>
                    </wps:bodyPr>
                  </wps:wsp>
                </a:graphicData>
              </a:graphic>
            </wp:anchor>
          </w:drawing>
        </mc:Choice>
        <mc:Fallback>
          <w:pict>
            <v:shape id="Cuadro de texto 2" o:spid="_x0000_s1026" o:spt="202" type="#_x0000_t202" style="position:absolute;left:0pt;margin-left:7.2pt;margin-top:-14.15pt;height:53.25pt;width:384.5pt;z-index:251664384;mso-width-relative:page;mso-height-relative:page;" fillcolor="#FFFFFF" filled="t" stroked="f" coordsize="21600,21600" o:gfxdata="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0aDxbWAAAACQEAAA8AAAAAAAAAAQAgAAAAIgAAAGRycy9kb3ducmV2LnhtbFBLAQIUABQAAAAI&#10;AIdO4kBg7zjjKAIAAE0EAAAOAAAAAAAAAAEAIAAAACUBAABkcnMvZTJvRG9jLnhtbFBLBQYAAAAA&#10;BgAGAFkBAAC/BQAAAAA=&#10;">
              <v:fill on="t" focussize="0,0"/>
              <v:stroke on="f"/>
              <v:imagedata o:title=""/>
              <o:lock v:ext="edit" aspectratio="f"/>
              <v:textbox>
                <w:txbxContent>
                  <w:p w14:paraId="05C9C614">
                    <w:pPr>
                      <w:tabs>
                        <w:tab w:val="center" w:pos="4252"/>
                        <w:tab w:val="right" w:pos="8504"/>
                      </w:tabs>
                      <w:ind w:left="317" w:hanging="283"/>
                      <w:rPr>
                        <w:rFonts w:hint="default" w:ascii="Calibri" w:hAnsi="Calibri"/>
                        <w:sz w:val="20"/>
                        <w:szCs w:val="20"/>
                        <w:lang w:val="es-ES"/>
                      </w:rPr>
                    </w:pPr>
                    <w:r>
                      <w:rPr>
                        <w:rFonts w:ascii="Calibri" w:hAnsi="Calibri"/>
                        <w:sz w:val="20"/>
                        <w:szCs w:val="20"/>
                        <w:lang w:val="pt-PT"/>
                      </w:rPr>
                      <w:t xml:space="preserve">Av. Túpac Amaru N° 210 Rímac, Lima 25 – </w:t>
                    </w:r>
                  </w:p>
                  <w:p w14:paraId="28C0A9BC">
                    <w:pPr>
                      <w:tabs>
                        <w:tab w:val="center" w:pos="4252"/>
                        <w:tab w:val="right" w:pos="8504"/>
                      </w:tabs>
                      <w:ind w:left="317" w:hanging="283"/>
                      <w:rPr>
                        <w:rFonts w:ascii="Calibri" w:hAnsi="Calibri"/>
                        <w:sz w:val="20"/>
                        <w:szCs w:val="20"/>
                        <w:lang w:val="es-PE"/>
                      </w:rPr>
                    </w:pPr>
                    <w:r>
                      <w:rPr>
                        <w:rFonts w:ascii="Calibri" w:hAnsi="Calibri"/>
                        <w:sz w:val="20"/>
                        <w:szCs w:val="20"/>
                        <w:lang w:val="es-PE"/>
                      </w:rPr>
                      <w:t>Teléfono: (511) 381-3826 - Central Telefónica: (511) 481-1070 Anexo: 3401</w:t>
                    </w:r>
                  </w:p>
                  <w:p w14:paraId="023C5B2E">
                    <w:pPr>
                      <w:rPr>
                        <w:rFonts w:ascii="Futura BdCn BT" w:hAnsi="Futura BdCn BT"/>
                        <w:color w:val="404040"/>
                        <w:sz w:val="18"/>
                        <w:szCs w:val="18"/>
                        <w:lang w:val="pt-PT"/>
                      </w:rPr>
                    </w:pPr>
                    <w:r>
                      <w:rPr>
                        <w:rFonts w:ascii="Calibri" w:hAnsi="Calibri"/>
                        <w:sz w:val="20"/>
                        <w:szCs w:val="20"/>
                        <w:lang w:val="pt-PT"/>
                      </w:rPr>
                      <w:t>Web: posgrado.uni.edu.pe  E-mail: posgrado@uni.edu.pe</w:t>
                    </w:r>
                  </w:p>
                </w:txbxContent>
              </v:textbox>
            </v:shape>
          </w:pict>
        </mc:Fallback>
      </mc:AlternateContent>
    </w:r>
    <w:r>
      <w:rPr>
        <w:lang w:val="es-PE" w:eastAsia="es-PE"/>
      </w:rPr>
      <mc:AlternateContent>
        <mc:Choice Requires="wps">
          <w:drawing>
            <wp:anchor distT="0" distB="0" distL="114300" distR="114300" simplePos="0" relativeHeight="251663360" behindDoc="0" locked="0" layoutInCell="1" allowOverlap="1">
              <wp:simplePos x="0" y="0"/>
              <wp:positionH relativeFrom="column">
                <wp:posOffset>53340</wp:posOffset>
              </wp:positionH>
              <wp:positionV relativeFrom="paragraph">
                <wp:posOffset>-122555</wp:posOffset>
              </wp:positionV>
              <wp:extent cx="0" cy="409575"/>
              <wp:effectExtent l="9525" t="5080" r="9525" b="13970"/>
              <wp:wrapNone/>
              <wp:docPr id="1205698307" name="AutoShape 5"/>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404040"/>
                        </a:solidFill>
                        <a:round/>
                      </a:ln>
                    </wps:spPr>
                    <wps:bodyPr/>
                  </wps:wsp>
                </a:graphicData>
              </a:graphic>
            </wp:anchor>
          </w:drawing>
        </mc:Choice>
        <mc:Fallback>
          <w:pict>
            <v:shape id="AutoShape 5" o:spid="_x0000_s1026" o:spt="32" type="#_x0000_t32" style="position:absolute;left:0pt;margin-left:4.2pt;margin-top:-9.65pt;height:32.25pt;width:0pt;z-index:251663360;mso-width-relative:page;mso-height-relative:page;" filled="f" stroked="t" coordsize="21600,21600" o:gfxdata="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2faua9QAAAAGAQAADwAAAAAA&#10;AAABACAAAAAiAAAAZHJzL2Rvd25yZXYueG1sUEsBAhQAFAAAAAgAh07iQMps97PeAQAAugMAAA4A&#10;AAAAAAAAAQAgAAAAIwEAAGRycy9lMm9Eb2MueG1sUEsFBgAAAAAGAAYAWQEAAHMFAAAAAA==&#10;">
              <v:fill on="f" focussize="0,0"/>
              <v:stroke color="#404040" joinstyle="round"/>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467A6">
    <w:pPr>
      <w:pStyle w:val="8"/>
    </w:pPr>
    <w:r>
      <w:rPr>
        <w:lang w:val="es-PE" w:eastAsia="es-PE"/>
      </w:rPr>
      <mc:AlternateContent>
        <mc:Choice Requires="wps">
          <w:drawing>
            <wp:anchor distT="0" distB="0" distL="114300" distR="114300" simplePos="0" relativeHeight="251662336" behindDoc="0" locked="0" layoutInCell="1" allowOverlap="1">
              <wp:simplePos x="0" y="0"/>
              <wp:positionH relativeFrom="column">
                <wp:posOffset>177165</wp:posOffset>
              </wp:positionH>
              <wp:positionV relativeFrom="paragraph">
                <wp:posOffset>330200</wp:posOffset>
              </wp:positionV>
              <wp:extent cx="4892675" cy="619125"/>
              <wp:effectExtent l="0" t="0" r="0" b="9525"/>
              <wp:wrapNone/>
              <wp:docPr id="1206016816"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4892675" cy="619125"/>
                      </a:xfrm>
                      <a:prstGeom prst="rect">
                        <a:avLst/>
                      </a:prstGeom>
                      <a:noFill/>
                      <a:ln>
                        <a:noFill/>
                      </a:ln>
                    </wps:spPr>
                    <wps:txbx>
                      <w:txbxContent>
                        <w:p w14:paraId="574E19DE">
                          <w:pPr>
                            <w:rPr>
                              <w:rFonts w:ascii="Futura XBlkCn BT" w:hAnsi="Futura XBlkCn BT"/>
                              <w:sz w:val="32"/>
                              <w:szCs w:val="32"/>
                              <w:lang w:val="es-PE"/>
                            </w:rPr>
                          </w:pPr>
                          <w:r>
                            <w:rPr>
                              <w:rFonts w:ascii="Futura XBlkCn BT" w:hAnsi="Futura XBlkCn BT"/>
                              <w:sz w:val="32"/>
                              <w:szCs w:val="32"/>
                              <w:lang w:val="es-PE"/>
                            </w:rPr>
                            <w:t>Escuela de Posgrado</w:t>
                          </w:r>
                        </w:p>
                      </w:txbxContent>
                    </wps:txbx>
                    <wps:bodyPr rot="0" vert="horz" wrap="square" lIns="91440" tIns="45720" rIns="91440" bIns="45720" anchor="t" anchorCtr="0" upright="1">
                      <a:noAutofit/>
                    </wps:bodyPr>
                  </wps:wsp>
                </a:graphicData>
              </a:graphic>
            </wp:anchor>
          </w:drawing>
        </mc:Choice>
        <mc:Fallback>
          <w:pict>
            <v:shape id="Cuadro de texto 2" o:spid="_x0000_s1026" o:spt="202" type="#_x0000_t202" style="position:absolute;left:0pt;margin-left:13.95pt;margin-top:26pt;height:48.75pt;width:385.25pt;z-index:251662336;mso-width-relative:page;mso-height-relative:page;" filled="f" stroked="f" coordsize="21600,21600" o:gfxdata="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6Pjic1wAAAAkBAAAPAAAAAAAA&#10;AAEAIAAAACIAAABkcnMvZG93bnJldi54bWxQSwECFAAUAAAACACHTuJABl1akRMCAAAkBAAADgAA&#10;AAAAAAABACAAAAAmAQAAZHJzL2Uyb0RvYy54bWxQSwUGAAAAAAYABgBZAQAAqwUAAAAA&#10;">
              <v:fill on="f" focussize="0,0"/>
              <v:stroke on="f"/>
              <v:imagedata o:title=""/>
              <o:lock v:ext="edit" aspectratio="f"/>
              <v:textbox>
                <w:txbxContent>
                  <w:p w14:paraId="574E19DE">
                    <w:pPr>
                      <w:rPr>
                        <w:rFonts w:ascii="Futura XBlkCn BT" w:hAnsi="Futura XBlkCn BT"/>
                        <w:sz w:val="32"/>
                        <w:szCs w:val="32"/>
                        <w:lang w:val="es-PE"/>
                      </w:rPr>
                    </w:pPr>
                    <w:r>
                      <w:rPr>
                        <w:rFonts w:ascii="Futura XBlkCn BT" w:hAnsi="Futura XBlkCn BT"/>
                        <w:sz w:val="32"/>
                        <w:szCs w:val="32"/>
                        <w:lang w:val="es-PE"/>
                      </w:rPr>
                      <w:t>Escuela de Posgrado</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148590</wp:posOffset>
              </wp:positionH>
              <wp:positionV relativeFrom="paragraph">
                <wp:posOffset>-69215</wp:posOffset>
              </wp:positionV>
              <wp:extent cx="5753100" cy="400050"/>
              <wp:effectExtent l="0" t="0" r="0" b="0"/>
              <wp:wrapNone/>
              <wp:docPr id="1508618832"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5753100" cy="400050"/>
                      </a:xfrm>
                      <a:prstGeom prst="rect">
                        <a:avLst/>
                      </a:prstGeom>
                      <a:solidFill>
                        <a:srgbClr val="FFFFFF"/>
                      </a:solidFill>
                      <a:ln>
                        <a:noFill/>
                      </a:ln>
                    </wps:spPr>
                    <wps:txbx>
                      <w:txbxContent>
                        <w:p w14:paraId="217BB33E">
                          <w:pPr>
                            <w:rPr>
                              <w:rFonts w:ascii="Futura XBlkCn BT" w:hAnsi="Futura XBlkCn BT"/>
                              <w:color w:val="808080"/>
                              <w:sz w:val="40"/>
                              <w:szCs w:val="40"/>
                            </w:rPr>
                          </w:pPr>
                          <w:r>
                            <w:rPr>
                              <w:rFonts w:ascii="Futura XBlkCn BT" w:hAnsi="Futura XBlkCn BT"/>
                              <w:color w:val="808080"/>
                              <w:sz w:val="40"/>
                              <w:szCs w:val="40"/>
                            </w:rPr>
                            <w:t>UNIVERSIDAD NACIONAL DE INGENIERÍA</w:t>
                          </w:r>
                        </w:p>
                      </w:txbxContent>
                    </wps:txbx>
                    <wps:bodyPr rot="0" vert="horz" wrap="square" lIns="91440" tIns="45720" rIns="91440" bIns="45720" anchor="t" anchorCtr="0" upright="1">
                      <a:noAutofit/>
                    </wps:bodyPr>
                  </wps:wsp>
                </a:graphicData>
              </a:graphic>
            </wp:anchor>
          </w:drawing>
        </mc:Choice>
        <mc:Fallback>
          <w:pict>
            <v:shape id="Cuadro de texto 2" o:spid="_x0000_s1026" o:spt="202" type="#_x0000_t202" style="position:absolute;left:0pt;margin-left:11.7pt;margin-top:-5.45pt;height:31.5pt;width:453pt;z-index:251660288;mso-width-relative:page;mso-height-relative:page;" fillcolor="#FFFFFF" filled="t" stroked="f" coordsize="21600,21600" o:gfxdata="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WZT3tgAAAAJAQAADwAAAAAAAAABACAAAAAiAAAAZHJzL2Rvd25yZXYueG1sUEsBAhQAFAAA&#10;AAgAh07iQMBtYxIoAgAATQQAAA4AAAAAAAAAAQAgAAAAJwEAAGRycy9lMm9Eb2MueG1sUEsFBgAA&#10;AAAGAAYAWQEAAMEFAAAAAA==&#10;">
              <v:fill on="t" focussize="0,0"/>
              <v:stroke on="f"/>
              <v:imagedata o:title=""/>
              <o:lock v:ext="edit" aspectratio="f"/>
              <v:textbox>
                <w:txbxContent>
                  <w:p w14:paraId="217BB33E">
                    <w:pPr>
                      <w:rPr>
                        <w:rFonts w:ascii="Futura XBlkCn BT" w:hAnsi="Futura XBlkCn BT"/>
                        <w:color w:val="808080"/>
                        <w:sz w:val="40"/>
                        <w:szCs w:val="40"/>
                      </w:rPr>
                    </w:pPr>
                    <w:r>
                      <w:rPr>
                        <w:rFonts w:ascii="Futura XBlkCn BT" w:hAnsi="Futura XBlkCn BT"/>
                        <w:color w:val="808080"/>
                        <w:sz w:val="40"/>
                        <w:szCs w:val="40"/>
                      </w:rPr>
                      <w:t>UNIVERSIDAD NACIONAL DE INGENIERÍA</w:t>
                    </w:r>
                  </w:p>
                </w:txbxContent>
              </v:textbox>
            </v:shape>
          </w:pict>
        </mc:Fallback>
      </mc:AlternateContent>
    </w:r>
    <w:r>
      <w:rPr>
        <w:lang w:val="es-PE" w:eastAsia="es-PE"/>
      </w:rPr>
      <mc:AlternateContent>
        <mc:Choice Requires="wps">
          <w:drawing>
            <wp:anchor distT="0" distB="0" distL="114300" distR="114300" simplePos="0" relativeHeight="251661312" behindDoc="0" locked="0" layoutInCell="1" allowOverlap="1">
              <wp:simplePos x="0" y="0"/>
              <wp:positionH relativeFrom="column">
                <wp:posOffset>243840</wp:posOffset>
              </wp:positionH>
              <wp:positionV relativeFrom="paragraph">
                <wp:posOffset>292735</wp:posOffset>
              </wp:positionV>
              <wp:extent cx="5867400" cy="0"/>
              <wp:effectExtent l="9525" t="9525" r="9525" b="9525"/>
              <wp:wrapNone/>
              <wp:docPr id="839732980" name="AutoShape 3"/>
              <wp:cNvGraphicFramePr/>
              <a:graphic xmlns:a="http://schemas.openxmlformats.org/drawingml/2006/main">
                <a:graphicData uri="http://schemas.microsoft.com/office/word/2010/wordprocessingShape">
                  <wps:wsp>
                    <wps:cNvCnPr>
                      <a:cxnSpLocks noChangeShapeType="1"/>
                    </wps:cNvCnPr>
                    <wps:spPr bwMode="auto">
                      <a:xfrm flipV="1">
                        <a:off x="0" y="0"/>
                        <a:ext cx="5867400" cy="0"/>
                      </a:xfrm>
                      <a:prstGeom prst="straightConnector1">
                        <a:avLst/>
                      </a:prstGeom>
                      <a:noFill/>
                      <a:ln w="9525">
                        <a:solidFill>
                          <a:srgbClr val="622423"/>
                        </a:solidFill>
                        <a:round/>
                      </a:ln>
                    </wps:spPr>
                    <wps:bodyPr/>
                  </wps:wsp>
                </a:graphicData>
              </a:graphic>
            </wp:anchor>
          </w:drawing>
        </mc:Choice>
        <mc:Fallback>
          <w:pict>
            <v:shape id="AutoShape 3" o:spid="_x0000_s1026" o:spt="32" type="#_x0000_t32" style="position:absolute;left:0pt;flip:y;margin-left:19.2pt;margin-top:23.05pt;height:0pt;width:462pt;z-index:251661312;mso-width-relative:page;mso-height-relative:page;" filled="f" stroked="t" coordsize="21600,21600" o:gfxdata="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tubvrXAAAA&#10;CAEAAA8AAAAAAAAAAQAgAAAAIgAAAGRycy9kb3ducmV2LnhtbFBLAQIUABQAAAAIAIdO4kChW1CV&#10;5QEAAMQDAAAOAAAAAAAAAAEAIAAAACYBAABkcnMvZTJvRG9jLnhtbFBLBQYAAAAABgAGAFkBAAB9&#10;BQAAAAA=&#10;">
              <v:fill on="f" focussize="0,0"/>
              <v:stroke color="#622423" joinstyle="round"/>
              <v:imagedata o:title=""/>
              <o:lock v:ext="edit" aspectratio="f"/>
            </v:shape>
          </w:pict>
        </mc:Fallback>
      </mc:AlternateContent>
    </w:r>
    <w:r>
      <w:drawing>
        <wp:anchor distT="0" distB="0" distL="114300" distR="114300" simplePos="0" relativeHeight="251659264" behindDoc="0" locked="0" layoutInCell="1" allowOverlap="1">
          <wp:simplePos x="0" y="0"/>
          <wp:positionH relativeFrom="column">
            <wp:posOffset>-737235</wp:posOffset>
          </wp:positionH>
          <wp:positionV relativeFrom="paragraph">
            <wp:posOffset>-267335</wp:posOffset>
          </wp:positionV>
          <wp:extent cx="927735" cy="1131570"/>
          <wp:effectExtent l="0" t="0" r="0" b="0"/>
          <wp:wrapNone/>
          <wp:docPr id="199847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7112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7735" cy="113157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A727E"/>
    <w:multiLevelType w:val="multilevel"/>
    <w:tmpl w:val="0A4A727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267A9E"/>
    <w:multiLevelType w:val="multilevel"/>
    <w:tmpl w:val="2E267A9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F2C"/>
    <w:rsid w:val="00046926"/>
    <w:rsid w:val="00135D26"/>
    <w:rsid w:val="0022450C"/>
    <w:rsid w:val="004E426F"/>
    <w:rsid w:val="00606107"/>
    <w:rsid w:val="00791576"/>
    <w:rsid w:val="007C0542"/>
    <w:rsid w:val="00876294"/>
    <w:rsid w:val="00883F2C"/>
    <w:rsid w:val="009E3659"/>
    <w:rsid w:val="00AD34EB"/>
    <w:rsid w:val="00E27D96"/>
    <w:rsid w:val="0F7446B0"/>
    <w:rsid w:val="2D750DE6"/>
    <w:rsid w:val="34E34BD5"/>
    <w:rsid w:val="4A121195"/>
    <w:rsid w:val="56B60050"/>
    <w:rsid w:val="5DE55498"/>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s-ES" w:eastAsia="es-E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unhideWhenUsed/>
    <w:qFormat/>
    <w:uiPriority w:val="99"/>
    <w:rPr>
      <w:color w:val="0000FF"/>
      <w:u w:val="single"/>
    </w:rPr>
  </w:style>
  <w:style w:type="character" w:styleId="7">
    <w:name w:val="Strong"/>
    <w:basedOn w:val="4"/>
    <w:qFormat/>
    <w:uiPriority w:val="22"/>
    <w:rPr>
      <w:b/>
      <w:bCs/>
    </w:rPr>
  </w:style>
  <w:style w:type="paragraph" w:styleId="8">
    <w:name w:val="header"/>
    <w:basedOn w:val="1"/>
    <w:link w:val="11"/>
    <w:qFormat/>
    <w:uiPriority w:val="0"/>
    <w:pPr>
      <w:tabs>
        <w:tab w:val="center" w:pos="4419"/>
        <w:tab w:val="right" w:pos="8838"/>
      </w:tabs>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footer"/>
    <w:basedOn w:val="1"/>
    <w:link w:val="12"/>
    <w:qFormat/>
    <w:uiPriority w:val="0"/>
    <w:pPr>
      <w:tabs>
        <w:tab w:val="center" w:pos="4419"/>
        <w:tab w:val="right" w:pos="8838"/>
      </w:tabs>
    </w:pPr>
  </w:style>
  <w:style w:type="character" w:customStyle="1" w:styleId="11">
    <w:name w:val="Encabezado Car"/>
    <w:basedOn w:val="4"/>
    <w:link w:val="8"/>
    <w:qFormat/>
    <w:uiPriority w:val="0"/>
    <w:rPr>
      <w:rFonts w:ascii="Times New Roman" w:hAnsi="Times New Roman" w:eastAsia="Times New Roman" w:cs="Times New Roman"/>
      <w:sz w:val="24"/>
      <w:szCs w:val="24"/>
      <w:lang w:val="es-ES" w:eastAsia="es-ES"/>
    </w:rPr>
  </w:style>
  <w:style w:type="character" w:customStyle="1" w:styleId="12">
    <w:name w:val="Pie de página Car"/>
    <w:basedOn w:val="4"/>
    <w:link w:val="10"/>
    <w:qFormat/>
    <w:uiPriority w:val="0"/>
    <w:rPr>
      <w:rFonts w:ascii="Times New Roman" w:hAnsi="Times New Roman" w:eastAsia="Times New Roman" w:cs="Times New Roman"/>
      <w:sz w:val="24"/>
      <w:szCs w:val="24"/>
      <w:lang w:val="es-ES" w:eastAsia="es-ES"/>
    </w:rPr>
  </w:style>
  <w:style w:type="paragraph" w:styleId="13">
    <w:name w:val="No Spacing"/>
    <w:qFormat/>
    <w:uiPriority w:val="1"/>
    <w:pPr>
      <w:spacing w:after="0" w:line="240" w:lineRule="auto"/>
    </w:pPr>
    <w:rPr>
      <w:rFonts w:ascii="Calibri" w:hAnsi="Calibri" w:eastAsia="Calibri" w:cs="Times New Roman"/>
      <w:sz w:val="22"/>
      <w:szCs w:val="22"/>
      <w:lang w:val="es-ES" w:eastAsia="en-US" w:bidi="ar-SA"/>
    </w:rPr>
  </w:style>
  <w:style w:type="paragraph" w:styleId="14">
    <w:name w:val="List Paragraph"/>
    <w:basedOn w:val="1"/>
    <w:qFormat/>
    <w:uiPriority w:val="34"/>
    <w:pPr>
      <w:spacing w:after="160" w:line="259" w:lineRule="auto"/>
      <w:ind w:left="720"/>
      <w:contextualSpacing/>
    </w:pPr>
    <w:rPr>
      <w:rFonts w:asciiTheme="minorHAnsi" w:hAnsiTheme="minorHAnsi" w:eastAsiaTheme="minorHAnsi" w:cstheme="minorBidi"/>
      <w:kern w:val="2"/>
      <w:sz w:val="22"/>
      <w:szCs w:val="22"/>
      <w:lang w:val="es-PE" w:eastAsia="en-US"/>
      <w14:ligatures w14:val="standardContextual"/>
    </w:rPr>
  </w:style>
  <w:style w:type="paragraph" w:styleId="15">
    <w:name w:val="Quote"/>
    <w:basedOn w:val="1"/>
    <w:next w:val="1"/>
    <w:link w:val="16"/>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6">
    <w:name w:val="Cita Car"/>
    <w:basedOn w:val="4"/>
    <w:link w:val="15"/>
    <w:qFormat/>
    <w:uiPriority w:val="29"/>
    <w:rPr>
      <w:rFonts w:ascii="Times New Roman" w:hAnsi="Times New Roman" w:eastAsia="Times New Roman" w:cs="Times New Roman"/>
      <w:i/>
      <w:iCs/>
      <w:color w:val="404040" w:themeColor="text1" w:themeTint="BF"/>
      <w:sz w:val="24"/>
      <w:szCs w:val="24"/>
      <w:lang w:val="es-ES" w:eastAsia="es-ES"/>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1546</Words>
  <Characters>10017</Characters>
  <Lines>4</Lines>
  <Paragraphs>1</Paragraphs>
  <TotalTime>30</TotalTime>
  <ScaleCrop>false</ScaleCrop>
  <LinksUpToDate>false</LinksUpToDate>
  <CharactersWithSpaces>11456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2025-01-24T16:43:00Z</dcterms:created>
  <dc:creator>SALA POSGRADO</dc:creator>
  <cp:lastModifiedBy>SAUL MARCELO</cp:lastModifiedBy>
  <cp:lastPrinted>2025-01-23T21:57:00Z</cp:lastPrinted>
  <dcterms:modified xsi:type="dcterms:W3CDTF">2026-09-19T20:34:22Z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eyJoZGlkIjoiNTU0ZmIwYTQ3NzlmZGUxZmU3Zjk0M2IyZTNmM2IxNjAiLCJ1c2VySWQiOiIxNjY2NTIxMTU2NDgyIn0=</vt:lpwstr>
  </property>
  <property fmtid="{D5CDD505-2E9C-101B-9397-08002B2CF9AE}" pid="3" name="KSOProductBuildVer">
    <vt:lpwstr>3082-12.1.0.28485</vt:lpwstr>
  </property>
  <property fmtid="{D5CDD505-2E9C-101B-9397-08002B2CF9AE}" pid="4" name="ICV">
    <vt:lpwstr>7336DD23D7F94F069BED1A31CDB9A8E9_13</vt:lpwstr>
  </property>
</Properties>
</file>