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rFonts w:ascii="Arial" w:cs="Arial" w:eastAsia="Arial" w:hAnsi="Arial"/>
          <w:b/>
          <w:bCs/>
          <w:sz w:val="32"/>
          <w:szCs w:val="32"/>
        </w:rPr>
        <w:t xml:space="preserve">El Impacto de la Inteligencia Artifial en la Edición de Libros: Una Perspectiva Editorial</w:t>
      </w:r>
    </w:p>
    <w:p>
      <w:pPr>
        <w:pStyle w:val="Heading2"/>
      </w:pPr>
      <w:r>
        <w:rPr>
          <w:rFonts w:ascii="Arial" w:cs="Arial" w:eastAsia="Arial" w:hAnsi="Arial"/>
          <w:b/>
          <w:bCs/>
          <w:sz w:val="28"/>
          <w:szCs w:val="28"/>
        </w:rPr>
        <w:t xml:space="preserve">analisis comparativo del sector editorial latinoamericano, 2020–2025</w:t>
      </w:r>
    </w:p>
    <w:p>
      <w:pPr>
        <w:spacing w:after="160"/>
        <w:jc w:val="center"/>
      </w:pPr>
      <w:r>
        <w:rPr>
          <w:rFonts w:ascii="Arial" w:cs="Arial" w:eastAsia="Arial" w:hAnsi="Arial"/>
          <w:sz w:val="24"/>
          <w:szCs w:val="24"/>
        </w:rPr>
        <w:t xml:space="preserve">Dra. Carmen Villanueva Ríos</w:t>
      </w:r>
    </w:p>
    <w:p>
      <w:pPr>
        <w:spacing w:after="160"/>
        <w:jc w:val="center"/>
      </w:pPr>
      <w:r>
        <w:rPr>
          <w:rFonts w:ascii="Arial" w:cs="Arial" w:eastAsia="Arial" w:hAnsi="Arial"/>
          <w:sz w:val="24"/>
          <w:szCs w:val="24"/>
        </w:rPr>
        <w:t xml:space="preserve">Universidad Autónoma de las Letras</w:t>
      </w:r>
    </w:p>
    <w:p>
      <w:pPr>
        <w:pStyle w:val="Heading2"/>
      </w:pPr>
      <w:r>
        <w:rPr>
          <w:rFonts w:ascii="Arial" w:cs="Arial" w:eastAsia="Arial" w:hAnsi="Arial"/>
          <w:b/>
          <w:bCs/>
          <w:sz w:val="28"/>
          <w:szCs w:val="28"/>
        </w:rPr>
        <w:t xml:space="preserve">Resumen</w:t>
      </w:r>
    </w:p>
    <w:p>
      <w:pPr>
        <w:spacing w:after="160"/>
        <w:jc w:val="both"/>
      </w:pPr>
      <w:r>
        <w:rPr>
          <w:rFonts w:ascii="Arial" w:cs="Arial" w:eastAsia="Arial" w:hAnsi="Arial"/>
          <w:sz w:val="24"/>
          <w:szCs w:val="24"/>
        </w:rPr>
        <w:t xml:space="preserve">La inteligencia artifial ha irrumpido en el sector editorial con una fuerza transformadora sin precedentes en las últimas décadas. Las editoriáles latinoamerica han comenzado a adoptar herramientas basadas en procesamiento de lenguaje natural para optimizar sus flujos de trabajo. Este artículo analiza el impacto de dichas tecnologías en los procesos de corrección, maquetación y distribución de contenidos. Los resultados evidencian que es importante mencionar que es necesario tener en cuenta que se ha producido una mejora significativa en la eficiencia editorial, aunque persisten tensiones en torno a la creatividad y el juicio humano. Se concluye que la integración estratégica de la IA representa una oportunidad y no una amenaza para el sector editorial.</w:t>
      </w:r>
    </w:p>
    <w:p>
      <w:pPr>
        <w:pStyle w:val="Heading1"/>
      </w:pPr>
      <w:r>
        <w:rPr>
          <w:rFonts w:ascii="Arial" w:cs="Arial" w:eastAsia="Arial" w:hAnsi="Arial"/>
          <w:b/>
          <w:bCs/>
          <w:sz w:val="32"/>
          <w:szCs w:val="32"/>
        </w:rPr>
        <w:t xml:space="preserve">Introducción</w:t>
      </w:r>
    </w:p>
    <w:p>
      <w:pPr>
        <w:spacing w:after="160"/>
        <w:jc w:val="both"/>
      </w:pPr>
      <w:r>
        <w:rPr>
          <w:rFonts w:ascii="Arial" w:cs="Arial" w:eastAsia="Arial" w:hAnsi="Arial"/>
          <w:sz w:val="24"/>
          <w:szCs w:val="24"/>
        </w:rPr>
        <w:t xml:space="preserve">El sector editorial latinoamericano atraviesa una transformación profunda impulsada por el desarrollo acelerado de tecnologías de inteligencia artificial. Desde las primeras aplicaciones de corrección ortográfica automatizada hasta los sistemas actuales de machine learning editorial, el cambio ha sido radical y sostenido. Las editoriales que durante décadas operaron con flujos de trabajo manuales y altamente dependientes del criterio humano se enfrentan hoy a la posibilidad de automatizar tareas que antes requerían equipos completos de profesionales. Hubieron muchos cambios estructurales durante este periodo que afectaron tanto a las grandes editoriales como a las pequeñas casas independientes.</w:t>
      </w:r>
    </w:p>
    <w:p>
      <w:pPr>
        <w:spacing w:after="160"/>
        <w:jc w:val="both"/>
      </w:pPr>
      <w:r>
        <w:rPr>
          <w:rFonts w:ascii="Arial" w:cs="Arial" w:eastAsia="Arial" w:hAnsi="Arial"/>
          <w:sz w:val="24"/>
          <w:szCs w:val="24"/>
        </w:rPr>
        <w:t xml:space="preserve">La brecha digital, ha sido ampliamente documentada entre las grandes editoriales y las pequeñas casas independientes y representa uno de los principales desafíos del sector.</w:t>
      </w:r>
    </w:p>
    <w:p>
      <w:pPr>
        <w:spacing w:after="160"/>
        <w:jc w:val="both"/>
      </w:pPr>
      <w:r>
        <w:rPr>
          <w:rFonts w:ascii="Arial" w:cs="Arial" w:eastAsia="Arial" w:hAnsi="Arial"/>
          <w:sz w:val="24"/>
          <w:szCs w:val="24"/>
        </w:rPr>
        <w:t xml:space="preserve">Pensamos de que es necesario analizar los factores que han acelerado esta transformación, entre los cuales se encuentran los siguientes aspectos clave, como:</w:t>
      </w:r>
    </w:p>
    <w:p>
      <w:pPr>
        <w:spacing w:after="160"/>
        <w:jc w:val="both"/>
      </w:pPr>
      <w:r>
        <w:rPr>
          <w:rFonts w:ascii="Arial" w:cs="Arial" w:eastAsia="Arial" w:hAnsi="Arial"/>
          <w:sz w:val="24"/>
          <w:szCs w:val="24"/>
        </w:rPr>
        <w:t xml:space="preserve">la reducción de costos en infraestructura tecnológica, la disponibilidad de modelos de lenguaje de código abierto y la creciente presión competitiva de plataformas digitales globales que ya operan con IA integrada.</w:t>
      </w:r>
    </w:p>
    <w:p>
      <w:pPr>
        <w:pStyle w:val="Heading2"/>
      </w:pPr>
      <w:r>
        <w:rPr>
          <w:rFonts w:ascii="Arial" w:cs="Arial" w:eastAsia="Arial" w:hAnsi="Arial"/>
          <w:b/>
          <w:bCs/>
          <w:sz w:val="28"/>
          <w:szCs w:val="28"/>
        </w:rPr>
        <w:t xml:space="preserve">Objetivos del estudio</w:t>
      </w:r>
    </w:p>
    <w:p>
      <w:pPr>
        <w:pStyle w:val="ListParagraph"/>
        <w:numPr>
          <w:ilvl w:val="0"/>
          <w:numId w:val="2"/>
        </w:numPr>
      </w:pPr>
      <w:r>
        <w:rPr>
          <w:rFonts w:ascii="Arial" w:cs="Arial" w:eastAsia="Arial" w:hAnsi="Arial"/>
          <w:sz w:val="24"/>
          <w:szCs w:val="24"/>
        </w:rPr>
        <w:t xml:space="preserve">Identificar las principales herramientas de inteligencia artificial adoptadas por las editoriáles latinoamericanas entre 2020 y 2025.</w:t>
      </w:r>
    </w:p>
    <w:p>
      <w:pPr>
        <w:pStyle w:val="ListParagraph"/>
        <w:numPr>
          <w:ilvl w:val="0"/>
          <w:numId w:val="2"/>
        </w:numPr>
      </w:pPr>
      <w:r>
        <w:rPr>
          <w:rFonts w:ascii="Arial" w:cs="Arial" w:eastAsia="Arial" w:hAnsi="Arial"/>
          <w:sz w:val="24"/>
          <w:szCs w:val="24"/>
        </w:rPr>
        <w:t xml:space="preserve">Evaluar el impacto de la automatización en los resultado obtenido a nivel de los procesos de corrección editorial.</w:t>
      </w:r>
    </w:p>
    <w:p>
      <w:pPr>
        <w:pStyle w:val="ListParagraph"/>
        <w:numPr>
          <w:ilvl w:val="0"/>
          <w:numId w:val="2"/>
        </w:numPr>
      </w:pPr>
      <w:r>
        <w:rPr>
          <w:rFonts w:ascii="Arial" w:cs="Arial" w:eastAsia="Arial" w:hAnsi="Arial"/>
          <w:sz w:val="24"/>
          <w:szCs w:val="24"/>
        </w:rPr>
        <w:t xml:space="preserve">Analizar las percepciones de los profesionales editoriales frente a la integración de sistemas de IA en el dia de hoy.</w:t>
      </w:r>
    </w:p>
    <w:p>
      <w:pPr>
        <w:pStyle w:val="ListParagraph"/>
        <w:numPr>
          <w:ilvl w:val="0"/>
          <w:numId w:val="2"/>
        </w:numPr>
      </w:pPr>
      <w:r>
        <w:rPr>
          <w:rFonts w:ascii="Arial" w:cs="Arial" w:eastAsia="Arial" w:hAnsi="Arial"/>
          <w:sz w:val="24"/>
          <w:szCs w:val="24"/>
        </w:rPr>
        <w:t xml:space="preserve">Comparar los niveles de adopción tecnológica entre el herramienta más efectivo disponible para editoriales de distintos tamaños.</w:t>
      </w:r>
    </w:p>
    <w:p>
      <w:pPr>
        <w:pStyle w:val="ListParagraph"/>
        <w:numPr>
          <w:ilvl w:val="0"/>
          <w:numId w:val="2"/>
        </w:numPr>
      </w:pPr>
      <w:r>
        <w:rPr>
          <w:rFonts w:ascii="Arial" w:cs="Arial" w:eastAsia="Arial" w:hAnsi="Arial"/>
          <w:sz w:val="24"/>
          <w:szCs w:val="24"/>
        </w:rPr>
        <w:t xml:space="preserve">Proponer lineamientos para llevar a cabo una integración ética de la IA en el sector editorial, dado al hecho de que los cambios son inminentes.</w:t>
      </w:r>
    </w:p>
    <w:p>
      <w:pPr>
        <w:pStyle w:val="Heading2"/>
      </w:pPr>
      <w:r>
        <w:rPr>
          <w:rFonts w:ascii="Arial" w:cs="Arial" w:eastAsia="Arial" w:hAnsi="Arial"/>
          <w:b/>
          <w:bCs/>
          <w:sz w:val="28"/>
          <w:szCs w:val="28"/>
        </w:rPr>
        <w:t xml:space="preserve">Metodología aplicada</w:t>
      </w:r>
    </w:p>
    <w:p>
      <w:pPr>
        <w:pStyle w:val="ListParagraph"/>
        <w:numPr>
          <w:ilvl w:val="0"/>
          <w:numId w:val="3"/>
        </w:numPr>
      </w:pPr>
      <w:r>
        <w:rPr>
          <w:rFonts w:ascii="Arial" w:cs="Arial" w:eastAsia="Arial" w:hAnsi="Arial"/>
          <w:sz w:val="24"/>
          <w:szCs w:val="24"/>
        </w:rPr>
        <w:t xml:space="preserve">Revisión sistemática de literatura académica y reportes sectoriales publicados entre 2018 y 2025.</w:t>
      </w:r>
    </w:p>
    <w:p>
      <w:pPr>
        <w:pStyle w:val="ListParagraph"/>
        <w:numPr>
          <w:ilvl w:val="0"/>
          <w:numId w:val="3"/>
        </w:numPr>
      </w:pPr>
      <w:r>
        <w:rPr>
          <w:rFonts w:ascii="Arial" w:cs="Arial" w:eastAsia="Arial" w:hAnsi="Arial"/>
          <w:sz w:val="24"/>
          <w:szCs w:val="24"/>
        </w:rPr>
        <w:t xml:space="preserve">Encuestas estructuradas aplicadas a 120 profesionales editoriales en México, Argentina, Colombia y Chile.</w:t>
      </w:r>
    </w:p>
    <w:p>
      <w:pPr>
        <w:pStyle w:val="ListParagraph"/>
        <w:numPr>
          <w:ilvl w:val="0"/>
          <w:numId w:val="3"/>
        </w:numPr>
      </w:pPr>
      <w:r>
        <w:rPr>
          <w:rFonts w:ascii="Arial" w:cs="Arial" w:eastAsia="Arial" w:hAnsi="Arial"/>
          <w:sz w:val="24"/>
          <w:szCs w:val="24"/>
        </w:rPr>
        <w:t xml:space="preserve">Analisis comparativo de herramientas de corrección automática mediante corpus de prueba estandarizado.</w:t>
      </w:r>
    </w:p>
    <w:p>
      <w:pPr>
        <w:pStyle w:val="ListParagraph"/>
        <w:numPr>
          <w:ilvl w:val="0"/>
          <w:numId w:val="3"/>
        </w:numPr>
      </w:pPr>
      <w:r>
        <w:rPr>
          <w:rFonts w:ascii="Arial" w:cs="Arial" w:eastAsia="Arial" w:hAnsi="Arial"/>
          <w:sz w:val="24"/>
          <w:szCs w:val="24"/>
        </w:rPr>
        <w:t xml:space="preserve">Entrevistas en profundidad con directores editoriales de cinco casas editoriales representativas.</w:t>
      </w:r>
    </w:p>
    <w:p>
      <w:pPr>
        <w:spacing w:after="160"/>
        <w:jc w:val="both"/>
      </w:pPr>
      <w:r>
        <w:rPr>
          <w:rFonts w:ascii="Arial" w:cs="Arial" w:eastAsia="Arial" w:hAnsi="Arial"/>
          <w:sz w:val="24"/>
          <w:szCs w:val="24"/>
        </w:rPr>
        <w:t xml:space="preserve">O sea, básicamente lo que pasa es que la IA está cambiando todo un montón y la verdad que nadie sabe muy bien para dónde va esto, ¿no? Pero bueno, igual los datos son los que son y no hay mucha vuelta que darle a la cosa.</w:t>
      </w:r>
    </w:p>
    <w:p>
      <w:pPr>
        <w:spacing w:after="160"/>
        <w:jc w:val="both"/>
      </w:pPr>
      <w:r>
        <w:rPr>
          <w:rFonts w:ascii="Arial" w:cs="Arial" w:eastAsia="Arial" w:hAnsi="Arial"/>
          <w:b/>
          <w:bCs/>
          <w:sz w:val="24"/>
          <w:szCs w:val="24"/>
        </w:rPr>
        <w:t xml:space="preserve">Tabla 1. Distribución de editoriales por región y tipo de adopción tecnológica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Region</w:t>
            </w:r>
          </w:p>
        </w:tc>
        <w:tc>
          <w:tcPr>
            <w:tcW w:type="dxa" w:w="1872"/>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Editoriales Grandes</w:t>
            </w:r>
          </w:p>
        </w:tc>
        <w:tc>
          <w:tcPr>
            <w:tcW w:type="dxa" w:w="1872"/>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Editoriales Medianas</w:t>
            </w:r>
          </w:p>
        </w:tc>
        <w:tc>
          <w:tcPr>
            <w:tcW w:type="dxa" w:w="1872"/>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Editoriales Pequeñas</w:t>
            </w:r>
          </w:p>
        </w:tc>
        <w:tc>
          <w:tcPr>
            <w:tcW w:type="dxa" w:w="1872"/>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Adopción IA (%)</w:t>
            </w:r>
          </w:p>
        </w:tc>
      </w:tr>
      <w:tr>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México</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12</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34</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87</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más o menos 60%</w:t>
            </w:r>
          </w:p>
        </w:tc>
      </w:tr>
      <w:tr>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Argentina</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9</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28</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63</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58%</w:t>
            </w:r>
          </w:p>
        </w:tc>
      </w:tr>
      <w:tr>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Colombia</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5</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resultados positivo</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41</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67%</w:t>
            </w:r>
          </w:p>
        </w:tc>
      </w:tr>
      <w:tr>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Chile</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No aplica en este caso particular del estudio realizado en el contexto de la investigación que fue llevada a cabo durante el periodo comprendido entre los años 2020 y 2025 por el equipo investigador.</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19</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Las editoriales pequeñas chilenas presentan resistencia significativa a la adopción de herramientas automatizadas.</w:t>
            </w:r>
          </w:p>
        </w:tc>
        <w:tc>
          <w:tcPr>
            <w:tcW w:type="dxa" w:w="1872"/>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b w:val="false"/>
                <w:bCs w:val="false"/>
                <w:sz w:val="20"/>
                <w:szCs w:val="20"/>
              </w:rPr>
              <w:t xml:space="preserve">44%</w:t>
            </w:r>
          </w:p>
        </w:tc>
      </w:tr>
    </w:tbl>
    <w:p>
      <w:pPr>
        <w:pStyle w:val="Heading2"/>
      </w:pPr>
      <w:r>
        <w:rPr>
          <w:rFonts w:ascii="Arial" w:cs="Arial" w:eastAsia="Arial" w:hAnsi="Arial"/>
          <w:b/>
          <w:bCs/>
          <w:sz w:val="28"/>
          <w:szCs w:val="28"/>
        </w:rPr>
        <w:t xml:space="preserve">Marco Teórico</w:t>
      </w:r>
    </w:p>
    <w:p>
      <w:pPr>
        <w:spacing w:after="160"/>
        <w:jc w:val="both"/>
      </w:pPr>
      <w:r>
        <w:rPr>
          <w:rFonts w:ascii="Arial" w:cs="Arial" w:eastAsia="Arial" w:hAnsi="Arial"/>
          <w:sz w:val="24"/>
          <w:szCs w:val="24"/>
        </w:rPr>
        <w:t xml:space="preserve">El concepto de machine learning editorial ha sido definido por múltiples autores como la aplicación de algoritmos de aprendizaje automático a los procesos propios del ciclo editorial. En este sentido, cabe destacar el hecho de que los resultados obtenidos demuestran claramente que el procesamiento de lenguaje natural (NLP) constituye el núcleo técnico sobre el cual se construyen estas herramientas. Un corpus lingüístico es una cosa que resulta indispensable para el entrenamiento de modelos eficaces. La tokenización semántica es otra cosa importante que permite descomponer el texto. Estas cosas son fundamentales para entender el diseño del sistema STYLIA.</w:t>
      </w:r>
    </w:p>
    <w:p>
      <w:pPr>
        <w:spacing w:after="160"/>
        <w:jc w:val="both"/>
      </w:pPr>
      <w:r>
        <w:rPr>
          <w:rFonts w:ascii="Arial" w:cs="Arial" w:eastAsia="Arial" w:hAnsi="Arial"/>
          <w:sz w:val="24"/>
          <w:szCs w:val="24"/>
        </w:rPr>
        <w:t xml:space="preserve">—¿Cree usted que la IA reemplazará a los editores humanos? —preguntó la periodista.</w:t>
      </w:r>
    </w:p>
    <w:p>
      <w:pPr>
        <w:spacing w:after="160"/>
        <w:jc w:val="both"/>
      </w:pPr>
      <w:r>
        <w:rPr>
          <w:rFonts w:ascii="Arial" w:cs="Arial" w:eastAsia="Arial" w:hAnsi="Arial"/>
          <w:sz w:val="24"/>
          <w:szCs w:val="24"/>
        </w:rPr>
        <w:t xml:space="preserve">—De ninguna manera —respondió la doctora—. La Inteligencia Artificial es una herramienta, no un sustituto.</w:t>
      </w:r>
    </w:p>
    <w:p>
      <w:pPr>
        <w:spacing w:after="160"/>
        <w:jc w:val="both"/>
      </w:pPr>
      <w:r>
        <w:rPr>
          <w:rFonts w:ascii="Arial" w:cs="Arial" w:eastAsia="Arial" w:hAnsi="Arial"/>
          <w:sz w:val="24"/>
          <w:szCs w:val="24"/>
        </w:rPr>
        <w:t xml:space="preserve">Como señaló García Moreno «La edición es un acto cultural irreductible a la automatización; requiere sensibilidad histórica y juicio estético que ningún algoritmo puede replicar fielmente».</w:t>
      </w:r>
    </w:p>
    <w:p>
      <w:pPr>
        <w:pStyle w:val="Heading2"/>
      </w:pPr>
      <w:r>
        <w:rPr>
          <w:rFonts w:ascii="Arial" w:cs="Arial" w:eastAsia="Arial" w:hAnsi="Arial"/>
          <w:b/>
          <w:bCs/>
          <w:sz w:val="28"/>
          <w:szCs w:val="28"/>
        </w:rPr>
        <w:t xml:space="preserve">Resultados</w:t>
      </w:r>
    </w:p>
    <w:p>
      <w:pPr>
        <w:spacing w:after="160"/>
        <w:jc w:val="both"/>
      </w:pPr>
      <w:r>
        <w:rPr>
          <w:rFonts w:ascii="Arial" w:cs="Arial" w:eastAsia="Arial" w:hAnsi="Arial"/>
          <w:b/>
          <w:bCs/>
          <w:sz w:val="24"/>
          <w:szCs w:val="24"/>
        </w:rPr>
        <w:t xml:space="preserve">Tabla 2. Comparativa de herramientas de corrección automática evaluadas en el estudio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Herramienta</w:t>
            </w:r>
          </w:p>
        </w:tc>
        <w:tc>
          <w:tcPr>
            <w:tcW w:type="dxa" w:w="36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Fortalezas identificadas</w:t>
            </w:r>
          </w:p>
        </w:tc>
        <w:tc>
          <w:tcPr>
            <w:tcW w:type="dxa" w:w="3680"/>
            <w:tcBorders>
              <w:top w:val="single" w:color="AAAAAA" w:sz="1"/>
              <w:left w:val="single" w:color="AAAAAA" w:sz="1"/>
              <w:bottom w:val="single" w:color="AAAAAA" w:sz="1"/>
              <w:right w:val="single" w:color="AAAAAA" w:sz="1"/>
            </w:tcBorders>
            <w:shd w:fill="D5E8F0" w:val="clear"/>
            <w:tcMar>
              <w:top w:type="dxa" w:w="80"/>
              <w:left w:type="dxa" w:w="120"/>
              <w:bottom w:type="dxa" w:w="80"/>
              <w:right w:type="dxa" w:w="120"/>
            </w:tcMar>
          </w:tcPr>
          <w:p>
            <w:r>
              <w:rPr>
                <w:b/>
                <w:bCs/>
                <w:sz w:val="20"/>
                <w:szCs w:val="20"/>
              </w:rPr>
              <w:t xml:space="preserve">Limitaciones detectadas</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STYLIA v1.0</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Detección precisa de errores ortográficos en español neutro. Manejo adecuado de siglas y términos técnicos protegidos. Integración fluida con formatos DOCX estándar. Alta velocidad de procesamiento en documentos de hasta 50.000 palabras sin degradación perceptible del rendimiento.</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Dificultad para detectar errores de cohesión textual en párrafos extensos. Ausencia de soporte para cambios rastreados en la versión MVP 1. Cobertura limitada a nivel de variantes dialectales del español latinoamericano a nivel de corpus de entrenamiento, lo cual es una limitación a nivel de representatividad del sistema.</w:t>
            </w:r>
          </w:p>
        </w:tc>
      </w:tr>
      <w:tr>
        <w:tc>
          <w:tcPr>
            <w:tcW w:type="dxa" w:w="200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LanguageTool ES</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Amplia cobertura gramatical para el español peninsular y latinoamericano. Código abierto con comunidad activa. La dijeron que no podía usarse sin licencia en contextos comerciales, pero en realidad sí puede utilizarse bajo ciertas condiciones.</w:t>
            </w:r>
          </w:p>
        </w:tc>
        <w:tc>
          <w:tcPr>
            <w:tcW w:type="dxa" w:w="3680"/>
            <w:tcBorders>
              <w:top w:val="single" w:color="AAAAAA" w:sz="1"/>
              <w:left w:val="single" w:color="AAAAAA" w:sz="1"/>
              <w:bottom w:val="single" w:color="AAAAAA" w:sz="1"/>
              <w:right w:val="single" w:color="AAAAAA" w:sz="1"/>
            </w:tcBorders>
            <w:tcMar>
              <w:top w:type="dxa" w:w="80"/>
              <w:left w:type="dxa" w:w="120"/>
              <w:bottom w:type="dxa" w:w="80"/>
              <w:right w:type="dxa" w:w="120"/>
            </w:tcMar>
          </w:tcPr>
          <w:p>
            <w:r>
              <w:rPr>
                <w:sz w:val="20"/>
                <w:szCs w:val="20"/>
              </w:rPr>
              <w:t xml:space="preserve">Se enteró que había ganado el contrato editorial, pero los falsos positivos frecuentes en textos académicos siguen siendo su principal debilidad junto con el rendimiento degradado en documentos superiores a 100.000 palabras.</w:t>
            </w:r>
          </w:p>
        </w:tc>
      </w:tr>
    </w:tbl>
    <w:p>
      <w:pPr>
        <w:spacing w:after="60" w:before="200"/>
        <w:jc w:val="center"/>
      </w:pPr>
      <w:r>
        <w:drawing>
          <wp:inline distT="0" distB="0" distL="0" distR="0">
            <wp:extent cx="3810000" cy="1905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810000" cy="1905000"/>
                    </a:xfrm>
                    <a:prstGeom prst="rect">
                      <a:avLst/>
                    </a:prstGeom>
                  </pic:spPr>
                </pic:pic>
              </a:graphicData>
            </a:graphic>
          </wp:inline>
        </w:drawing>
      </w:r>
    </w:p>
    <w:p>
      <w:pPr>
        <w:spacing w:after="200" w:before="60"/>
        <w:jc w:val="center"/>
      </w:pPr>
      <w:r>
        <w:rPr>
          <w:rFonts w:ascii="Arial" w:cs="Arial" w:eastAsia="Arial" w:hAnsi="Arial"/>
          <w:i/>
          <w:iCs/>
          <w:sz w:val="20"/>
          <w:szCs w:val="20"/>
        </w:rPr>
        <w:t xml:space="preserve">Figura 1. evolución del uso de herramientas de IA en editoriales latinoamerica (2020-2025). Fuente: elaboración propia.</w:t>
      </w:r>
    </w:p>
    <w:p>
      <w:pPr>
        <w:spacing w:after="160"/>
        <w:jc w:val="both"/>
      </w:pPr>
      <w:r>
        <w:rPr>
          <w:rFonts w:ascii="Arial" w:cs="Arial" w:eastAsia="Arial" w:hAnsi="Arial"/>
          <w:sz w:val="24"/>
          <w:szCs w:val="24"/>
        </w:rPr>
        <w:t xml:space="preserve">La adopción de </w:t>
      </w:r>
      <w:r>
        <w:rPr>
          <w:rFonts w:ascii="Arial" w:cs="Arial" w:eastAsia="Arial" w:hAnsi="Arial"/>
          <w:b/>
          <w:bCs/>
          <w:sz w:val="24"/>
          <w:szCs w:val="24"/>
        </w:rPr>
        <w:t xml:space="preserve">inteligencia artificial</w:t>
      </w:r>
      <w:r>
        <w:rPr>
          <w:rFonts w:ascii="Arial" w:cs="Arial" w:eastAsia="Arial" w:hAnsi="Arial"/>
          <w:sz w:val="24"/>
          <w:szCs w:val="24"/>
        </w:rPr>
        <w:t xml:space="preserve"> en el ámbito editorial ha generado </w:t>
      </w:r>
      <w:r>
        <w:rPr>
          <w:rFonts w:ascii="Arial" w:cs="Arial" w:eastAsia="Arial" w:hAnsi="Arial"/>
          <w:i/>
          <w:iCs/>
          <w:sz w:val="24"/>
          <w:szCs w:val="24"/>
        </w:rPr>
        <w:t xml:space="preserve">debates significativos</w:t>
      </w:r>
      <w:r>
        <w:rPr>
          <w:rFonts w:ascii="Arial" w:cs="Arial" w:eastAsia="Arial" w:hAnsi="Arial"/>
          <w:sz w:val="24"/>
          <w:szCs w:val="24"/>
        </w:rPr>
        <w:t xml:space="preserve"> sobre el futuro de la profesión editorial en Latinoamérica, especificamente en mercados como México, Argentina y Colombia.</w:t>
      </w:r>
    </w:p>
    <w:p>
      <w:pPr>
        <w:spacing w:after="160"/>
        <w:jc w:val="both"/>
      </w:pPr>
      <w:r>
        <w:rPr>
          <w:rFonts w:ascii="Arial" w:cs="Arial" w:eastAsia="Arial" w:hAnsi="Arial"/>
          <w:sz w:val="24"/>
          <w:szCs w:val="24"/>
        </w:rPr>
        <w:t xml:space="preserve">Para más información sobre estándares editoriales, consulte el </w:t>
      </w:r>
      <w:hyperlink w:history="1" r:id="rId_ownpuospezho-odza2d-">
        <w:r>
          <w:rPr>
            <w:rStyle w:val="Hyperlink"/>
            <w:rFonts w:ascii="Arial" w:cs="Arial" w:eastAsia="Arial" w:hAnsi="Arial"/>
            <w:sz w:val="24"/>
            <w:szCs w:val="24"/>
          </w:rPr>
          <w:t xml:space="preserve">Registro Internacional del ISBN</w:t>
        </w:r>
      </w:hyperlink>
      <w:r>
        <w:rPr>
          <w:rFonts w:ascii="Arial" w:cs="Arial" w:eastAsia="Arial" w:hAnsi="Arial"/>
          <w:sz w:val="24"/>
          <w:szCs w:val="24"/>
        </w:rPr>
        <w:t xml:space="preserve">, organismo que regula la identificación de publicasiones.</w:t>
      </w:r>
    </w:p>
    <w:p>
      <w:pPr>
        <w:spacing w:after="160"/>
        <w:jc w:val="both"/>
      </w:pPr>
      <w:r>
        <w:rPr>
          <w:rFonts w:ascii="Arial" w:cs="Arial" w:eastAsia="Arial" w:hAnsi="Arial"/>
          <w:sz w:val="24"/>
          <w:szCs w:val="24"/>
        </w:rPr>
        <w:t xml:space="preserve">El analisis de los datos recopilados durante el periodo de estudio revela patrones consistentes en la adopción tecnológica,</w:t>
      </w:r>
      <w:r>
        <w:br w:type="page"/>
      </w:r>
      <w:r>
        <w:rPr>
          <w:rFonts w:ascii="Arial" w:cs="Arial" w:eastAsia="Arial" w:hAnsi="Arial"/>
          <w:sz w:val="24"/>
          <w:szCs w:val="24"/>
        </w:rPr>
        <w:t xml:space="preserve">los cuales serán discutidos en detalle en la siguiente sección del presente informe.</w:t>
      </w:r>
    </w:p>
    <w:p>
      <w:pPr>
        <w:spacing w:after="60" w:before="200"/>
        <w:jc w:val="center"/>
      </w:pPr>
      <w:r>
        <w:drawing>
          <wp:inline distT="0" distB="0" distL="0" distR="0">
            <wp:extent cx="285750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857500" cy="1428750"/>
                    </a:xfrm>
                    <a:prstGeom prst="rect">
                      <a:avLst/>
                    </a:prstGeom>
                  </pic:spPr>
                </pic:pic>
              </a:graphicData>
            </a:graphic>
          </wp:inline>
        </w:drawing>
      </w:r>
    </w:p>
    <w:p>
      <w:pPr>
        <w:spacing w:after="200" w:before="60"/>
        <w:jc w:val="center"/>
      </w:pPr>
      <w:r>
        <w:rPr>
          <w:rFonts w:ascii="Arial" w:cs="Arial" w:eastAsia="Arial" w:hAnsi="Arial"/>
          <w:i/>
          <w:iCs/>
          <w:sz w:val="20"/>
          <w:szCs w:val="20"/>
        </w:rPr>
        <w:t xml:space="preserve">fig 2 Mapa de distribución geográfica de editoriales participantes. Nota: los datos corresponden al periodo enero-diciembre 2024.</w:t>
      </w:r>
    </w:p>
    <w:p>
      <w:pPr>
        <w:pStyle w:val="Heading1"/>
      </w:pPr>
      <w:r>
        <w:rPr>
          <w:rFonts w:ascii="Arial" w:cs="Arial" w:eastAsia="Arial" w:hAnsi="Arial"/>
          <w:b/>
          <w:bCs/>
          <w:sz w:val="32"/>
          <w:szCs w:val="32"/>
        </w:rPr>
        <w:t xml:space="preserve">Discusión</w:t>
      </w:r>
    </w:p>
    <w:p>
      <w:pPr>
        <w:spacing w:after="160"/>
        <w:jc w:val="both"/>
      </w:pPr>
      <w:r>
        <w:rPr>
          <w:rFonts w:ascii="Arial" w:cs="Arial" w:eastAsia="Arial" w:hAnsi="Arial"/>
          <w:sz w:val="24"/>
          <w:szCs w:val="24"/>
        </w:rPr>
        <w:t xml:space="preserve">Los hallazgos presentados en la sección anterior permiten profundizar en la comprensión de los mecanismos a través de los cuales la inteligencia artificial está reconfigurando las prácticas editoriales en América Latina. En este sentido es importante mencionar el hecho de que los resultado obtenido a nivel de las editoriales latinoamerica demuestran claramente que la inteligencia artifial, ha tenido un impacto muy significativo y relevante en las cosa relacionadas con el proceso editorial, llevando a cabo cambios que son de suma importancia para el sector, lo cual es una cosa que nadie puede negar en el dia de hoy.</w:t>
      </w:r>
    </w:p>
    <w:p>
      <w:pPr>
        <w:spacing w:after="160"/>
        <w:jc w:val="both"/>
      </w:pPr>
      <w:r>
        <w:rPr>
          <w:rFonts w:ascii="Arial" w:cs="Arial" w:eastAsia="Arial" w:hAnsi="Arial"/>
          <w:sz w:val="24"/>
          <w:szCs w:val="24"/>
        </w:rPr>
        <w:t xml:space="preserve">Los investigadores analizaron los datos recabados en las entrevistas en profundidad. Analizamos los datos y encontramos que varios de los profesionales consultados identifican casos en los que la automatización ha generado nuevos tipos de errores. Si quieres revisar los datos completos, los resultados están disponibles en el anexo metodológico del informe.</w:t>
      </w:r>
    </w:p>
    <w:p>
      <w:pPr>
        <w:spacing w:after="160"/>
        <w:jc w:val="both"/>
      </w:pPr>
      <w:r>
        <w:rPr>
          <w:rFonts w:ascii="Arial" w:cs="Arial" w:eastAsia="Arial" w:hAnsi="Arial"/>
          <w:sz w:val="24"/>
          <w:szCs w:val="24"/>
        </w:rPr>
        <w:t xml:space="preserve">Qué impacto tendrá esto en el mercado editorial de la región es una pregunta que los datos recopilados no permiten responder de manera definitiva. Los resultados fueron sorprendentes.... Hay tres factores; el primero es la velocidad de adopción, el segundo es el costo de implementación.</w:t>
      </w:r>
    </w:p>
    <w:p>
      <w:pPr>
        <w:pStyle w:val="Heading1"/>
      </w:pPr>
      <w:r>
        <w:rPr>
          <w:rFonts w:ascii="Arial" w:cs="Arial" w:eastAsia="Arial" w:hAnsi="Arial"/>
          <w:b/>
          <w:bCs/>
          <w:sz w:val="32"/>
          <w:szCs w:val="32"/>
        </w:rPr>
        <w:t xml:space="preserve">Conclusiones</w:t>
      </w:r>
    </w:p>
    <w:p>
      <w:pPr>
        <w:spacing w:after="160"/>
        <w:jc w:val="both"/>
      </w:pPr>
      <w:r>
        <w:rPr>
          <w:rFonts w:ascii="Arial" w:cs="Arial" w:eastAsia="Arial" w:hAnsi="Arial"/>
          <w:sz w:val="24"/>
          <w:szCs w:val="24"/>
        </w:rPr>
        <w:t xml:space="preserve">El presente estudio ha demostrado que la inteligencia artifial está transformando el sector editorial latinoamericano de manera irreversible, aunque con una distribución desigual de sus beneficios y riesgos. La doctora Villanueva investigadora principal del proyecto presentó evidencia concluyente sobre la necesidad de estrategias de adopción diferenciadas.</w:t>
      </w:r>
    </w:p>
    <w:p>
      <w:pPr>
        <w:spacing w:after="160"/>
        <w:jc w:val="both"/>
      </w:pPr>
      <w:r>
        <w:rPr>
          <w:rFonts w:ascii="Arial" w:cs="Arial" w:eastAsia="Arial" w:hAnsi="Arial"/>
          <w:sz w:val="24"/>
          <w:szCs w:val="24"/>
        </w:rPr>
        <w:t xml:space="preserve">La investigación futura deberá abordar los efectos a largo plazo de la automatización sobre el empleo editorial. Los resultados fueron: positivos en todos los casos evaluados durante el periodo de análisis. Debido al hecho de que los cambios son estructurales, se recomienda una revisión institucional del rol del editor.</w:t>
      </w:r>
    </w:p>
    <w:p>
      <w:pPr>
        <w:pStyle w:val="ListParagraph"/>
        <w:numPr>
          <w:ilvl w:val="0"/>
          <w:numId w:val="2"/>
        </w:numPr>
      </w:pPr>
      <w:r>
        <w:rPr>
          <w:rFonts w:ascii="Arial" w:cs="Arial" w:eastAsia="Arial" w:hAnsi="Arial"/>
          <w:sz w:val="24"/>
          <w:szCs w:val="24"/>
        </w:rPr>
        <w:t xml:space="preserve">La adopción de herramientas de IA en editoriales latinoamericanas ha crecido de forma sostenida entre 2020 y 2025, con diferencias significativas entre publicasiones de distintos contextos regionales.</w:t>
      </w:r>
    </w:p>
    <w:p>
      <w:pPr>
        <w:pStyle w:val="ListParagraph"/>
        <w:numPr>
          <w:ilvl w:val="0"/>
          <w:numId w:val="2"/>
        </w:numPr>
      </w:pPr>
      <w:r>
        <w:rPr>
          <w:rFonts w:ascii="Arial" w:cs="Arial" w:eastAsia="Arial" w:hAnsi="Arial"/>
          <w:sz w:val="24"/>
          <w:szCs w:val="24"/>
        </w:rPr>
        <w:t xml:space="preserve">La supervisión humana especializada continúa siendo indispensable para garantizar la calidad editorial en entornos de alta automatización.</w:t>
      </w:r>
    </w:p>
    <w:p>
      <w:pPr>
        <w:pStyle w:val="ListParagraph"/>
        <w:numPr>
          <w:ilvl w:val="0"/>
          <w:numId w:val="2"/>
        </w:numPr>
      </w:pPr>
      <w:r>
        <w:rPr>
          <w:rFonts w:ascii="Arial" w:cs="Arial" w:eastAsia="Arial" w:hAnsi="Arial"/>
          <w:sz w:val="24"/>
          <w:szCs w:val="24"/>
        </w:rPr>
        <w:t xml:space="preserve">El diseño ético de sistemas de corrección automática debe incorporar explícitamente criterios de diversidad lingüística y representatividad dialectal.</w:t>
      </w:r>
    </w:p>
    <w:p>
      <w:pPr>
        <w:pStyle w:val="Heading1"/>
      </w:pPr>
      <w:r>
        <w:rPr>
          <w:rFonts w:ascii="Arial" w:cs="Arial" w:eastAsia="Arial" w:hAnsi="Arial"/>
          <w:b/>
          <w:bCs/>
          <w:sz w:val="32"/>
          <w:szCs w:val="32"/>
        </w:rPr>
        <w:t xml:space="preserve">Referencias</w:t>
      </w:r>
    </w:p>
    <w:p>
      <w:pPr>
        <w:spacing w:after="160"/>
        <w:jc w:val="both"/>
      </w:pPr>
      <w:r>
        <w:rPr>
          <w:rFonts w:ascii="Arial" w:cs="Arial" w:eastAsia="Arial" w:hAnsi="Arial"/>
          <w:sz w:val="24"/>
          <w:szCs w:val="24"/>
        </w:rPr>
        <w:t xml:space="preserve">García Hernández, M. A. (2022). Inteligencia artifial y edición: una perspectiva crítica. Revista Iberoamericana de Edición, 14(2), 45–78.</w:t>
      </w:r>
    </w:p>
    <w:p>
      <w:pPr>
        <w:spacing w:after="160"/>
        <w:jc w:val="both"/>
      </w:pPr>
      <w:r>
        <w:rPr>
          <w:rFonts w:ascii="Arial" w:cs="Arial" w:eastAsia="Arial" w:hAnsi="Arial"/>
          <w:sz w:val="24"/>
          <w:szCs w:val="24"/>
        </w:rPr>
        <w:t xml:space="preserve">Martínez López, F. J., &amp; Rodríguez Núñez, C. (2023). Machine learning en procesos editoriales: estudio comparativo. Cuadernos de Lingüística Aplicada, 31(1), 112–139.</w:t>
      </w:r>
    </w:p>
    <w:p>
      <w:pPr>
        <w:spacing w:after="160"/>
        <w:jc w:val="both"/>
      </w:pPr>
      <w:r>
        <w:rPr>
          <w:rFonts w:ascii="Arial" w:cs="Arial" w:eastAsia="Arial" w:hAnsi="Arial"/>
          <w:sz w:val="24"/>
          <w:szCs w:val="24"/>
        </w:rPr>
        <w:t xml:space="preserve">Hernández Ruiz, L. (2021). Automatización y creatividad en la edición latinoamerica. Editorial Siglo XXI.</w:t>
      </w:r>
    </w:p>
    <w:p>
      <w:pPr>
        <w:spacing w:after="160"/>
        <w:jc w:val="both"/>
      </w:pPr>
      <w:r>
        <w:rPr>
          <w:rFonts w:ascii="Arial" w:cs="Arial" w:eastAsia="Arial" w:hAnsi="Arial"/>
          <w:sz w:val="24"/>
          <w:szCs w:val="24"/>
        </w:rPr>
        <w:t xml:space="preserve">Villanueva Ríos, C., &amp; Sánchez Peña, R. (2024). NLP y corrección estilística: evaluación de herramientas para el específicamente español. Lingüística Computacional, 8(3), 201–228.</w:t>
      </w:r>
    </w:p>
    <w:p>
      <w:pPr>
        <w:spacing w:after="160"/>
        <w:jc w:val="both"/>
      </w:pPr>
      <w:r>
        <w:rPr>
          <w:rFonts w:ascii="Arial" w:cs="Arial" w:eastAsia="Arial" w:hAnsi="Arial"/>
          <w:sz w:val="24"/>
          <w:szCs w:val="24"/>
        </w:rPr>
        <w:t xml:space="preserve">Pérez Zárate, A. (2020). El futuro del editor en la era algorítmica. Fondo de Cultura Económica.</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3030" w:sz="4" w:space="1"/>
      </w:pBdr>
      <w:jc w:val="center"/>
    </w:pPr>
    <w:r>
      <w:rPr>
        <w:rFonts w:ascii="Arial" w:cs="Arial" w:eastAsia="Arial" w:hAnsi="Arial"/>
        <w:color w:val="7B1010"/>
        <w:sz w:val="18"/>
        <w:szCs w:val="18"/>
      </w:rPr>
      <w:t xml:space="preserve">Página 1 | Universidad Autónoma de las Letras | 2025 — VERSIÓN DE PRUEBA</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03030" w:sz="4" w:space="1"/>
      </w:pBdr>
      <w:jc w:val="center"/>
    </w:pPr>
    <w:r>
      <w:rPr>
        <w:rFonts w:ascii="Arial" w:cs="Arial" w:eastAsia="Arial" w:hAnsi="Arial"/>
        <w:i/>
        <w:iCs/>
        <w:color w:val="7B1010"/>
        <w:sz w:val="18"/>
        <w:szCs w:val="18"/>
      </w:rPr>
      <w:t xml:space="preserve">STYLIA — Corrector Editorial | Documento CON ERRORES (versión de prueba)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7B1010"/>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B03030"/>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_ownpuospezho-odza2d-" Type="http://schemas.openxmlformats.org/officeDocument/2006/relationships/hyperlink" Target="https://www.isbn.org" TargetMode="External"/><Relationship Id="rId9" Type="http://schemas.openxmlformats.org/officeDocument/2006/relationships/image" Target="media/2fccead833e5b1c1e9cfc711c556dbf05e9c64c1.png"/><Relationship Id="rId10" Type="http://schemas.openxmlformats.org/officeDocument/2006/relationships/image" Target="media/ba00eefc8287a2821ffa94e56bebaa788878b16b.png"/><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2026-04-25T23:02:11.081Z</dcterms:created>
  <dcterms:modified xsi:type="dcterms:W3CDTF">2026-04-25T23:02:11.082Z</dcterms:modified>
</cp:coreProperties>
</file>

<file path=docProps/custom.xml><?xml version="1.0" encoding="utf-8"?>
<Properties xmlns="http://schemas.openxmlformats.org/officeDocument/2006/custom-properties" xmlns:vt="http://schemas.openxmlformats.org/officeDocument/2006/docPropsVTypes"/>
</file>