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B5825" w14:textId="31F74285" w:rsidR="00636D92" w:rsidRPr="00636D92" w:rsidRDefault="00636D92" w:rsidP="00636D92">
      <w:pPr>
        <w:pStyle w:val="Ttulo3"/>
        <w:jc w:val="center"/>
        <w:rPr>
          <w:bCs/>
          <w:u w:val="none"/>
        </w:rPr>
      </w:pPr>
      <w:bookmarkStart w:id="0" w:name="_Toc515951709"/>
      <w:r w:rsidRPr="00636D92">
        <w:rPr>
          <w:bCs/>
          <w:u w:val="none"/>
        </w:rPr>
        <w:t>NIVELES DE CALIDAD</w:t>
      </w:r>
    </w:p>
    <w:p w14:paraId="3419A20A" w14:textId="77777777" w:rsidR="00636D92" w:rsidRDefault="00636D92" w:rsidP="00636D92">
      <w:pPr>
        <w:pStyle w:val="Ttulo3"/>
        <w:rPr>
          <w:b w:val="0"/>
          <w:u w:val="none"/>
        </w:rPr>
      </w:pPr>
    </w:p>
    <w:p w14:paraId="43CF746C" w14:textId="77777777" w:rsidR="00636D92" w:rsidRDefault="00636D92" w:rsidP="00636D92">
      <w:pPr>
        <w:pStyle w:val="Ttulo3"/>
        <w:rPr>
          <w:b w:val="0"/>
          <w:u w:val="none"/>
        </w:rPr>
      </w:pPr>
    </w:p>
    <w:p w14:paraId="04A5EFCD" w14:textId="566A3711" w:rsidR="00636D92" w:rsidRPr="00636D92" w:rsidRDefault="00636D92" w:rsidP="00636D92">
      <w:pPr>
        <w:pStyle w:val="Ttulo3"/>
        <w:tabs>
          <w:tab w:val="num" w:pos="2160"/>
        </w:tabs>
        <w:rPr>
          <w:b w:val="0"/>
          <w:u w:val="none"/>
        </w:rPr>
      </w:pPr>
      <w:r w:rsidRPr="00636D92">
        <w:rPr>
          <w:b w:val="0"/>
          <w:u w:val="none"/>
        </w:rPr>
        <w:t xml:space="preserve">Niveles de </w:t>
      </w:r>
      <w:r>
        <w:rPr>
          <w:b w:val="0"/>
          <w:u w:val="none"/>
        </w:rPr>
        <w:t xml:space="preserve">calidad del </w:t>
      </w:r>
      <w:r w:rsidRPr="00636D92">
        <w:rPr>
          <w:b w:val="0"/>
          <w:u w:val="none"/>
        </w:rPr>
        <w:t>servicio de</w:t>
      </w:r>
      <w:r>
        <w:rPr>
          <w:b w:val="0"/>
          <w:u w:val="none"/>
        </w:rPr>
        <w:t xml:space="preserve"> </w:t>
      </w:r>
      <w:r w:rsidRPr="00636D92">
        <w:rPr>
          <w:b w:val="0"/>
          <w:u w:val="none"/>
        </w:rPr>
        <w:t>Internet</w:t>
      </w:r>
      <w:bookmarkEnd w:id="0"/>
    </w:p>
    <w:p w14:paraId="6CED41A5" w14:textId="77777777" w:rsidR="00636D92" w:rsidRPr="00636D92" w:rsidRDefault="00636D92" w:rsidP="00636D92"/>
    <w:p w14:paraId="64FC3D4B" w14:textId="77777777"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Latencia</w:t>
      </w:r>
      <w:r w:rsidRPr="00636D92">
        <w:rPr>
          <w:rFonts w:ascii="Arial" w:hAnsi="Arial"/>
        </w:rPr>
        <w:t xml:space="preserve"> = promedio mensual menor a 60 ms (milisegundos).  Se define como el tiempo total de ida y regreso, de un paquete UDP de 1,500 bytes, desde un puerto en un </w:t>
      </w:r>
      <w:proofErr w:type="spellStart"/>
      <w:r w:rsidRPr="00636D92">
        <w:rPr>
          <w:rFonts w:ascii="Arial" w:hAnsi="Arial"/>
        </w:rPr>
        <w:t>router</w:t>
      </w:r>
      <w:proofErr w:type="spellEnd"/>
      <w:r w:rsidRPr="00636D92">
        <w:rPr>
          <w:rFonts w:ascii="Arial" w:hAnsi="Arial"/>
        </w:rPr>
        <w:t xml:space="preserve"> de la Red de Internet CMC al </w:t>
      </w:r>
      <w:proofErr w:type="spellStart"/>
      <w:r w:rsidRPr="00636D92">
        <w:rPr>
          <w:rFonts w:ascii="Arial" w:hAnsi="Arial"/>
        </w:rPr>
        <w:t>router</w:t>
      </w:r>
      <w:proofErr w:type="spellEnd"/>
      <w:r w:rsidRPr="00636D92">
        <w:rPr>
          <w:rFonts w:ascii="Arial" w:hAnsi="Arial"/>
        </w:rPr>
        <w:t xml:space="preserve"> de frontera al ISP en Estados unidos. La latencia se deberá monitorear con una frecuencia de 10 minutos en el todos los </w:t>
      </w:r>
      <w:proofErr w:type="spellStart"/>
      <w:r w:rsidRPr="00636D92">
        <w:rPr>
          <w:rFonts w:ascii="Arial" w:hAnsi="Arial"/>
        </w:rPr>
        <w:t>routers</w:t>
      </w:r>
      <w:proofErr w:type="spellEnd"/>
      <w:r w:rsidRPr="00636D92">
        <w:rPr>
          <w:rFonts w:ascii="Arial" w:hAnsi="Arial"/>
        </w:rPr>
        <w:t xml:space="preserve"> de la Red IP, por lo que el promedio de las mediciones de cualquier </w:t>
      </w:r>
      <w:proofErr w:type="spellStart"/>
      <w:r w:rsidRPr="00636D92">
        <w:rPr>
          <w:rFonts w:ascii="Arial" w:hAnsi="Arial"/>
        </w:rPr>
        <w:t>router</w:t>
      </w:r>
      <w:proofErr w:type="spellEnd"/>
      <w:r w:rsidRPr="00636D92">
        <w:rPr>
          <w:rFonts w:ascii="Arial" w:hAnsi="Arial"/>
        </w:rPr>
        <w:t xml:space="preserve"> no excederá el nivel definido.</w:t>
      </w:r>
    </w:p>
    <w:p w14:paraId="3BC844E2" w14:textId="77777777"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Pérdida de paquetes</w:t>
      </w:r>
      <w:r w:rsidRPr="00636D92">
        <w:rPr>
          <w:rFonts w:ascii="Arial" w:hAnsi="Arial"/>
        </w:rPr>
        <w:t xml:space="preserve"> = promedio mensual menor a 1%. Se define como la pérdida de información medida en paquetes IP entre un puerto de un </w:t>
      </w:r>
      <w:proofErr w:type="spellStart"/>
      <w:r w:rsidRPr="00636D92">
        <w:rPr>
          <w:rFonts w:ascii="Arial" w:hAnsi="Arial"/>
        </w:rPr>
        <w:t>router</w:t>
      </w:r>
      <w:proofErr w:type="spellEnd"/>
      <w:r w:rsidRPr="00636D92">
        <w:rPr>
          <w:rFonts w:ascii="Arial" w:hAnsi="Arial"/>
        </w:rPr>
        <w:t xml:space="preserve"> de la Red de Internet CMC al </w:t>
      </w:r>
      <w:proofErr w:type="spellStart"/>
      <w:r w:rsidRPr="00636D92">
        <w:rPr>
          <w:rFonts w:ascii="Arial" w:hAnsi="Arial"/>
        </w:rPr>
        <w:t>Backbone</w:t>
      </w:r>
      <w:proofErr w:type="spellEnd"/>
      <w:r w:rsidRPr="00636D92">
        <w:rPr>
          <w:rFonts w:ascii="Arial" w:hAnsi="Arial"/>
        </w:rPr>
        <w:t xml:space="preserve"> de Internet en Estados Unidos. La pérdida de paquetes se monitoreará cada 10 minutos en todos los </w:t>
      </w:r>
      <w:proofErr w:type="spellStart"/>
      <w:r w:rsidRPr="00636D92">
        <w:rPr>
          <w:rFonts w:ascii="Arial" w:hAnsi="Arial"/>
        </w:rPr>
        <w:t>routers</w:t>
      </w:r>
      <w:proofErr w:type="spellEnd"/>
      <w:r w:rsidRPr="00636D92">
        <w:rPr>
          <w:rFonts w:ascii="Arial" w:hAnsi="Arial"/>
        </w:rPr>
        <w:t xml:space="preserve"> de </w:t>
      </w:r>
      <w:proofErr w:type="spellStart"/>
      <w:r w:rsidRPr="00636D92">
        <w:rPr>
          <w:rFonts w:ascii="Arial" w:hAnsi="Arial"/>
        </w:rPr>
        <w:t>Backbone</w:t>
      </w:r>
      <w:proofErr w:type="spellEnd"/>
      <w:r w:rsidRPr="00636D92">
        <w:rPr>
          <w:rFonts w:ascii="Arial" w:hAnsi="Arial"/>
        </w:rPr>
        <w:t xml:space="preserve"> y el promedio de cualquier </w:t>
      </w:r>
      <w:proofErr w:type="spellStart"/>
      <w:r w:rsidRPr="00636D92">
        <w:rPr>
          <w:rFonts w:ascii="Arial" w:hAnsi="Arial"/>
        </w:rPr>
        <w:t>router</w:t>
      </w:r>
      <w:proofErr w:type="spellEnd"/>
      <w:r w:rsidRPr="00636D92">
        <w:rPr>
          <w:rFonts w:ascii="Arial" w:hAnsi="Arial"/>
        </w:rPr>
        <w:t xml:space="preserve"> no deberá exceder el promedio definido.</w:t>
      </w:r>
    </w:p>
    <w:p w14:paraId="0D075564" w14:textId="358DEF95" w:rsidR="00636D92" w:rsidRPr="00636D92" w:rsidRDefault="00636D92" w:rsidP="00636D92">
      <w:pPr>
        <w:pStyle w:val="Encabezado"/>
        <w:numPr>
          <w:ilvl w:val="0"/>
          <w:numId w:val="2"/>
        </w:numPr>
        <w:tabs>
          <w:tab w:val="clear" w:pos="360"/>
          <w:tab w:val="clear" w:pos="4419"/>
          <w:tab w:val="clear" w:pos="8838"/>
          <w:tab w:val="num" w:pos="1440"/>
        </w:tabs>
        <w:ind w:left="1440"/>
        <w:jc w:val="both"/>
        <w:rPr>
          <w:rFonts w:ascii="Arial" w:hAnsi="Arial"/>
        </w:rPr>
      </w:pPr>
      <w:r w:rsidRPr="00636D92">
        <w:rPr>
          <w:rFonts w:ascii="Arial" w:hAnsi="Arial"/>
          <w:b/>
        </w:rPr>
        <w:t>Disponibilidad</w:t>
      </w:r>
      <w:r w:rsidRPr="00636D92">
        <w:rPr>
          <w:rFonts w:ascii="Arial" w:hAnsi="Arial"/>
        </w:rPr>
        <w:t xml:space="preserve"> = promedio mensual igual a 99.</w:t>
      </w:r>
      <w:r>
        <w:rPr>
          <w:rFonts w:ascii="Arial" w:hAnsi="Arial"/>
        </w:rPr>
        <w:t>2</w:t>
      </w:r>
      <w:r w:rsidRPr="00636D92">
        <w:rPr>
          <w:rFonts w:ascii="Arial" w:hAnsi="Arial"/>
        </w:rPr>
        <w:t>% El cálculo de la disponibilidad estará definida por la siguiente fórmula:</w:t>
      </w:r>
    </w:p>
    <w:p w14:paraId="6D639526" w14:textId="77777777" w:rsidR="00636D92" w:rsidRPr="00636D92" w:rsidRDefault="00636D92" w:rsidP="00636D92">
      <w:pPr>
        <w:pStyle w:val="Encabezado"/>
        <w:tabs>
          <w:tab w:val="clear" w:pos="4419"/>
          <w:tab w:val="clear" w:pos="8838"/>
        </w:tabs>
        <w:jc w:val="both"/>
        <w:rPr>
          <w:rFonts w:ascii="Arial" w:hAnsi="Arial"/>
        </w:rPr>
      </w:pPr>
    </w:p>
    <w:p w14:paraId="205DB902" w14:textId="5D9DFB71" w:rsidR="00636D92" w:rsidRPr="00636D92" w:rsidRDefault="00636D92" w:rsidP="00636D92">
      <w:pPr>
        <w:pStyle w:val="Encabezado"/>
        <w:tabs>
          <w:tab w:val="clear" w:pos="4419"/>
          <w:tab w:val="clear" w:pos="8838"/>
        </w:tabs>
        <w:ind w:left="372" w:firstLine="708"/>
        <w:jc w:val="center"/>
        <w:rPr>
          <w:rFonts w:ascii="Arial" w:hAnsi="Arial"/>
          <w:b/>
        </w:rPr>
      </w:pPr>
      <w:r w:rsidRPr="00636D92">
        <w:rPr>
          <w:rFonts w:ascii="Arial" w:hAnsi="Arial"/>
          <w:b/>
          <w:position w:val="-22"/>
        </w:rPr>
        <w:object w:dxaOrig="6320" w:dyaOrig="580" w14:anchorId="5D8CF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75pt;height:29.25pt" o:ole="" fillcolor="window">
            <v:imagedata r:id="rId6" o:title=""/>
          </v:shape>
          <o:OLEObject Type="Embed" ProgID="Equation.3" ShapeID="_x0000_i1025" DrawAspect="Content" ObjectID="_1781103715" r:id="rId7"/>
        </w:object>
      </w:r>
    </w:p>
    <w:p w14:paraId="468F5246" w14:textId="77777777" w:rsidR="00636D92" w:rsidRPr="00636D92" w:rsidRDefault="00636D92" w:rsidP="00636D92">
      <w:pPr>
        <w:numPr>
          <w:ilvl w:val="0"/>
          <w:numId w:val="3"/>
        </w:numPr>
        <w:tabs>
          <w:tab w:val="clear" w:pos="360"/>
          <w:tab w:val="num" w:pos="1440"/>
        </w:tabs>
        <w:ind w:left="1440"/>
        <w:jc w:val="both"/>
        <w:rPr>
          <w:rFonts w:ascii="Arial" w:hAnsi="Arial"/>
        </w:rPr>
      </w:pPr>
      <w:r w:rsidRPr="00636D92">
        <w:rPr>
          <w:rFonts w:ascii="Arial" w:hAnsi="Arial"/>
        </w:rPr>
        <w:t>Tiempos máximos de Instalación a partir de la validación de la solicitud de instrumentación del servicio a Aprovisionamiento, del puerto de Internet con su correspondiente ancho de banda a partir de la firma del servicio:</w:t>
      </w:r>
    </w:p>
    <w:p w14:paraId="03542B63" w14:textId="77777777" w:rsidR="00636D92" w:rsidRPr="00636D92" w:rsidRDefault="00636D92" w:rsidP="00636D92">
      <w:pPr>
        <w:jc w:val="both"/>
        <w:rPr>
          <w:rFonts w:ascii="Arial" w:hAnsi="Arial"/>
        </w:rPr>
      </w:pPr>
    </w:p>
    <w:p w14:paraId="4FD2664F" w14:textId="77777777" w:rsidR="00CC5F8A" w:rsidRDefault="00CC5F8A"/>
    <w:p w14:paraId="60F56FC8" w14:textId="77777777" w:rsidR="00636D92" w:rsidRDefault="00636D92" w:rsidP="00636D92">
      <w:pPr>
        <w:rPr>
          <w:lang w:val="es-ES_tradnl"/>
        </w:rPr>
      </w:pPr>
    </w:p>
    <w:p w14:paraId="0ECC3BD4" w14:textId="4BB42A64" w:rsidR="00636D92" w:rsidRPr="0023547A" w:rsidRDefault="00636D92" w:rsidP="00636D92">
      <w:pPr>
        <w:shd w:val="clear" w:color="auto" w:fill="FFFFFF"/>
        <w:spacing w:after="312"/>
        <w:rPr>
          <w:rFonts w:ascii="Arial" w:hAnsi="Arial" w:cs="Arial"/>
          <w:color w:val="474747"/>
          <w:shd w:val="clear" w:color="auto" w:fill="FFFFFF"/>
        </w:rPr>
      </w:pPr>
      <w:r>
        <w:rPr>
          <w:rFonts w:ascii="Arial" w:hAnsi="Arial" w:cs="Arial"/>
          <w:color w:val="474747"/>
          <w:shd w:val="clear" w:color="auto" w:fill="FFFFFF"/>
        </w:rPr>
        <w:t>N</w:t>
      </w:r>
      <w:r>
        <w:rPr>
          <w:rFonts w:ascii="Arial" w:hAnsi="Arial" w:cs="Arial"/>
          <w:color w:val="474747"/>
          <w:shd w:val="clear" w:color="auto" w:fill="FFFFFF"/>
        </w:rPr>
        <w:t xml:space="preserve">iveles de calidad para </w:t>
      </w:r>
      <w:proofErr w:type="gramStart"/>
      <w:r>
        <w:rPr>
          <w:rFonts w:ascii="Arial" w:hAnsi="Arial" w:cs="Arial"/>
          <w:color w:val="474747"/>
          <w:shd w:val="clear" w:color="auto" w:fill="FFFFFF"/>
        </w:rPr>
        <w:t xml:space="preserve">la </w:t>
      </w:r>
      <w:r w:rsidRPr="0023547A">
        <w:rPr>
          <w:rFonts w:ascii="Arial" w:hAnsi="Arial" w:cs="Arial"/>
          <w:color w:val="474747"/>
          <w:shd w:val="clear" w:color="auto" w:fill="FFFFFF"/>
        </w:rPr>
        <w:t xml:space="preserve"> telefonía</w:t>
      </w:r>
      <w:proofErr w:type="gramEnd"/>
      <w:r w:rsidRPr="0023547A">
        <w:rPr>
          <w:rFonts w:ascii="Arial" w:hAnsi="Arial" w:cs="Arial"/>
          <w:color w:val="474747"/>
          <w:shd w:val="clear" w:color="auto" w:fill="FFFFFF"/>
        </w:rPr>
        <w:t xml:space="preserve"> IP:</w:t>
      </w:r>
    </w:p>
    <w:p w14:paraId="4C1FE997" w14:textId="77777777" w:rsidR="00636D92" w:rsidRPr="00636D92" w:rsidRDefault="00636D92" w:rsidP="00636D92">
      <w:pPr>
        <w:numPr>
          <w:ilvl w:val="0"/>
          <w:numId w:val="5"/>
        </w:numPr>
        <w:shd w:val="clear" w:color="auto" w:fill="FFFFFF"/>
        <w:spacing w:before="100" w:beforeAutospacing="1" w:after="144"/>
        <w:ind w:left="1032"/>
        <w:rPr>
          <w:rFonts w:ascii="Arial" w:hAnsi="Arial"/>
        </w:rPr>
      </w:pPr>
      <w:r w:rsidRPr="00636D92">
        <w:rPr>
          <w:rFonts w:ascii="Arial" w:hAnsi="Arial"/>
        </w:rPr>
        <w:t>La </w:t>
      </w:r>
      <w:hyperlink r:id="rId8" w:tgtFrame="_blank" w:history="1">
        <w:r w:rsidRPr="00636D92">
          <w:rPr>
            <w:rFonts w:ascii="Arial" w:hAnsi="Arial"/>
          </w:rPr>
          <w:t>latencia</w:t>
        </w:r>
      </w:hyperlink>
      <w:r w:rsidRPr="00636D92">
        <w:rPr>
          <w:rFonts w:ascii="Arial" w:hAnsi="Arial"/>
        </w:rPr>
        <w:t> o retardo de la señal. Las comunicaciones IP son servicios que no admiten latencia porque se trata de aplicaciones en tiempo real. Si la latencia de voz, en el caso de VoIP, sobrepasa los 250ms (milisegundos), la calidad de la llamada será pobre.</w:t>
      </w:r>
    </w:p>
    <w:p w14:paraId="7F511AD2" w14:textId="77777777" w:rsidR="00636D92" w:rsidRPr="00636D92" w:rsidRDefault="00636D92" w:rsidP="00636D92">
      <w:pPr>
        <w:numPr>
          <w:ilvl w:val="0"/>
          <w:numId w:val="6"/>
        </w:numPr>
        <w:shd w:val="clear" w:color="auto" w:fill="FFFFFF"/>
        <w:spacing w:before="100" w:beforeAutospacing="1" w:after="144"/>
        <w:ind w:left="1032"/>
        <w:rPr>
          <w:rFonts w:ascii="Arial" w:hAnsi="Arial"/>
        </w:rPr>
      </w:pPr>
      <w:r w:rsidRPr="00636D92">
        <w:rPr>
          <w:rFonts w:ascii="Arial" w:hAnsi="Arial"/>
        </w:rPr>
        <w:t>La pérdida de paquetes de datos (</w:t>
      </w:r>
      <w:proofErr w:type="spellStart"/>
      <w:r w:rsidRPr="00636D92">
        <w:rPr>
          <w:rFonts w:ascii="Arial" w:hAnsi="Arial"/>
        </w:rPr>
        <w:fldChar w:fldCharType="begin"/>
      </w:r>
      <w:r w:rsidRPr="00636D92">
        <w:rPr>
          <w:rFonts w:ascii="Arial" w:hAnsi="Arial"/>
        </w:rPr>
        <w:instrText>HYPERLINK "http://searchnetworking.techtarget.com/definition/packet-loss" \t "_blank"</w:instrText>
      </w:r>
      <w:r w:rsidRPr="00636D92">
        <w:rPr>
          <w:rFonts w:ascii="Arial" w:hAnsi="Arial"/>
        </w:rPr>
      </w:r>
      <w:r w:rsidRPr="00636D92">
        <w:rPr>
          <w:rFonts w:ascii="Arial" w:hAnsi="Arial"/>
        </w:rPr>
        <w:fldChar w:fldCharType="separate"/>
      </w:r>
      <w:r w:rsidRPr="00636D92">
        <w:rPr>
          <w:rFonts w:ascii="Arial" w:hAnsi="Arial"/>
        </w:rPr>
        <w:t>packet</w:t>
      </w:r>
      <w:proofErr w:type="spellEnd"/>
      <w:r w:rsidRPr="00636D92">
        <w:rPr>
          <w:rFonts w:ascii="Arial" w:hAnsi="Arial"/>
        </w:rPr>
        <w:t xml:space="preserve"> </w:t>
      </w:r>
      <w:proofErr w:type="spellStart"/>
      <w:r w:rsidRPr="00636D92">
        <w:rPr>
          <w:rFonts w:ascii="Arial" w:hAnsi="Arial"/>
        </w:rPr>
        <w:t>loss</w:t>
      </w:r>
      <w:proofErr w:type="spellEnd"/>
      <w:r w:rsidRPr="00636D92">
        <w:rPr>
          <w:rFonts w:ascii="Arial" w:hAnsi="Arial"/>
        </w:rPr>
        <w:fldChar w:fldCharType="end"/>
      </w:r>
      <w:r w:rsidRPr="00636D92">
        <w:rPr>
          <w:rFonts w:ascii="Arial" w:hAnsi="Arial"/>
        </w:rPr>
        <w:t>) a lo largo del viaje de la señal por una elevada tasa de error (no debe sobrepasar el 5%), o bien por la congestión del buffer de una interfaz, provocando el efecto de voces robóticas durante una llamada.</w:t>
      </w:r>
    </w:p>
    <w:p w14:paraId="657EE9BD" w14:textId="77777777" w:rsidR="00636D92" w:rsidRPr="00636D92" w:rsidRDefault="00636D92" w:rsidP="00636D92">
      <w:pPr>
        <w:numPr>
          <w:ilvl w:val="0"/>
          <w:numId w:val="7"/>
        </w:numPr>
        <w:shd w:val="clear" w:color="auto" w:fill="FFFFFF"/>
        <w:spacing w:before="100" w:beforeAutospacing="1" w:after="144"/>
        <w:ind w:left="1032"/>
        <w:rPr>
          <w:rFonts w:ascii="Arial" w:hAnsi="Arial"/>
        </w:rPr>
      </w:pPr>
      <w:r w:rsidRPr="00636D92">
        <w:rPr>
          <w:rFonts w:ascii="Arial" w:hAnsi="Arial"/>
        </w:rPr>
        <w:t>El </w:t>
      </w:r>
      <w:proofErr w:type="spellStart"/>
      <w:r w:rsidRPr="00636D92">
        <w:rPr>
          <w:rFonts w:ascii="Arial" w:hAnsi="Arial"/>
        </w:rPr>
        <w:fldChar w:fldCharType="begin"/>
      </w:r>
      <w:r w:rsidRPr="00636D92">
        <w:rPr>
          <w:rFonts w:ascii="Arial" w:hAnsi="Arial"/>
        </w:rPr>
        <w:instrText>HYPERLINK "http://es.wikipedia.org/wiki/Jitter" \t "_blank"</w:instrText>
      </w:r>
      <w:r w:rsidRPr="00636D92">
        <w:rPr>
          <w:rFonts w:ascii="Arial" w:hAnsi="Arial"/>
        </w:rPr>
      </w:r>
      <w:r w:rsidRPr="00636D92">
        <w:rPr>
          <w:rFonts w:ascii="Arial" w:hAnsi="Arial"/>
        </w:rPr>
        <w:fldChar w:fldCharType="separate"/>
      </w:r>
      <w:r w:rsidRPr="00636D92">
        <w:rPr>
          <w:rFonts w:ascii="Arial" w:hAnsi="Arial"/>
        </w:rPr>
        <w:t>jitter</w:t>
      </w:r>
      <w:proofErr w:type="spellEnd"/>
      <w:r w:rsidRPr="00636D92">
        <w:rPr>
          <w:rFonts w:ascii="Arial" w:hAnsi="Arial"/>
        </w:rPr>
        <w:fldChar w:fldCharType="end"/>
      </w:r>
      <w:r w:rsidRPr="00636D92">
        <w:rPr>
          <w:rFonts w:ascii="Arial" w:hAnsi="Arial"/>
        </w:rPr>
        <w:t> (audio de mala calidad). Al convertir la voz en paquetes de datos divididos que toman diferentes caminos entre emisor y receptor, pueden llegar a su destino de forma desordenada produciéndose el efecto de </w:t>
      </w:r>
      <w:proofErr w:type="spellStart"/>
      <w:r w:rsidRPr="00636D92">
        <w:rPr>
          <w:rFonts w:ascii="Arial" w:hAnsi="Arial"/>
        </w:rPr>
        <w:t>jitter</w:t>
      </w:r>
      <w:proofErr w:type="spellEnd"/>
      <w:r w:rsidRPr="00636D92">
        <w:rPr>
          <w:rFonts w:ascii="Arial" w:hAnsi="Arial"/>
        </w:rPr>
        <w:t>, imposibilitando la comunicación, debido a que las velocidades de llegada no son homogéneas.</w:t>
      </w:r>
    </w:p>
    <w:p w14:paraId="50D9F6D0" w14:textId="77777777" w:rsidR="00636D92" w:rsidRPr="0023547A" w:rsidRDefault="00636D92" w:rsidP="00636D92">
      <w:pPr>
        <w:pStyle w:val="trt0xe"/>
        <w:shd w:val="clear" w:color="auto" w:fill="FFFFFF"/>
        <w:spacing w:before="0" w:beforeAutospacing="0" w:after="60" w:afterAutospacing="0"/>
        <w:rPr>
          <w:rFonts w:ascii="Arial" w:hAnsi="Arial" w:cs="Arial"/>
          <w:color w:val="474747"/>
          <w:sz w:val="20"/>
          <w:szCs w:val="20"/>
          <w:shd w:val="clear" w:color="auto" w:fill="FFFFFF"/>
          <w:lang w:val="es-ES" w:eastAsia="es-ES"/>
        </w:rPr>
      </w:pPr>
    </w:p>
    <w:p w14:paraId="54DE6CC4" w14:textId="77777777" w:rsidR="00636D92" w:rsidRPr="0023547A" w:rsidRDefault="00636D92" w:rsidP="00636D92">
      <w:pPr>
        <w:pStyle w:val="trt0xe"/>
        <w:shd w:val="clear" w:color="auto" w:fill="FFFFFF"/>
        <w:spacing w:before="0" w:beforeAutospacing="0" w:after="60" w:afterAutospacing="0"/>
        <w:jc w:val="both"/>
        <w:rPr>
          <w:rFonts w:ascii="Arial" w:hAnsi="Arial" w:cs="Arial"/>
          <w:color w:val="474747"/>
          <w:sz w:val="20"/>
          <w:szCs w:val="20"/>
          <w:shd w:val="clear" w:color="auto" w:fill="FFFFFF"/>
          <w:lang w:val="es-ES" w:eastAsia="es-ES"/>
        </w:rPr>
      </w:pPr>
      <w:r w:rsidRPr="0023547A">
        <w:rPr>
          <w:rFonts w:ascii="Arial" w:hAnsi="Arial" w:cs="Arial"/>
          <w:color w:val="474747"/>
          <w:sz w:val="20"/>
          <w:szCs w:val="20"/>
          <w:shd w:val="clear" w:color="auto" w:fill="FFFFFF"/>
          <w:lang w:val="es-ES" w:eastAsia="es-ES"/>
        </w:rPr>
        <w:t>Las </w:t>
      </w:r>
      <w:r w:rsidRPr="0023547A">
        <w:rPr>
          <w:rFonts w:ascii="Arial" w:hAnsi="Arial" w:cs="Arial"/>
          <w:color w:val="474747"/>
          <w:sz w:val="20"/>
          <w:szCs w:val="20"/>
          <w:lang w:val="es-ES" w:eastAsia="es-ES"/>
        </w:rPr>
        <w:t>tecnologías de calidad de servicio</w:t>
      </w:r>
      <w:r w:rsidRPr="0023547A">
        <w:rPr>
          <w:rFonts w:ascii="Arial" w:hAnsi="Arial" w:cs="Arial"/>
          <w:color w:val="474747"/>
          <w:sz w:val="20"/>
          <w:szCs w:val="20"/>
          <w:shd w:val="clear" w:color="auto" w:fill="FFFFFF"/>
          <w:lang w:val="es-ES" w:eastAsia="es-ES"/>
        </w:rPr>
        <w:t> (</w:t>
      </w:r>
      <w:proofErr w:type="spellStart"/>
      <w:r w:rsidRPr="0023547A">
        <w:rPr>
          <w:rFonts w:ascii="Arial" w:hAnsi="Arial" w:cs="Arial"/>
          <w:color w:val="474747"/>
          <w:sz w:val="20"/>
          <w:szCs w:val="20"/>
          <w:shd w:val="clear" w:color="auto" w:fill="FFFFFF"/>
          <w:lang w:val="es-ES" w:eastAsia="es-ES"/>
        </w:rPr>
        <w:t>QoS</w:t>
      </w:r>
      <w:proofErr w:type="spellEnd"/>
      <w:r w:rsidRPr="0023547A">
        <w:rPr>
          <w:rFonts w:ascii="Arial" w:hAnsi="Arial" w:cs="Arial"/>
          <w:color w:val="474747"/>
          <w:sz w:val="20"/>
          <w:szCs w:val="20"/>
          <w:shd w:val="clear" w:color="auto" w:fill="FFFFFF"/>
          <w:lang w:val="es-ES" w:eastAsia="es-ES"/>
        </w:rPr>
        <w:t xml:space="preserve">, </w:t>
      </w:r>
      <w:proofErr w:type="spellStart"/>
      <w:r w:rsidRPr="0023547A">
        <w:rPr>
          <w:rFonts w:ascii="Arial" w:hAnsi="Arial" w:cs="Arial"/>
          <w:color w:val="474747"/>
          <w:sz w:val="20"/>
          <w:szCs w:val="20"/>
          <w:shd w:val="clear" w:color="auto" w:fill="FFFFFF"/>
          <w:lang w:val="es-ES" w:eastAsia="es-ES"/>
        </w:rPr>
        <w:t>Quality</w:t>
      </w:r>
      <w:proofErr w:type="spellEnd"/>
      <w:r w:rsidRPr="0023547A">
        <w:rPr>
          <w:rFonts w:ascii="Arial" w:hAnsi="Arial" w:cs="Arial"/>
          <w:color w:val="474747"/>
          <w:sz w:val="20"/>
          <w:szCs w:val="20"/>
          <w:shd w:val="clear" w:color="auto" w:fill="FFFFFF"/>
          <w:lang w:val="es-ES" w:eastAsia="es-ES"/>
        </w:rPr>
        <w:t xml:space="preserve"> </w:t>
      </w:r>
      <w:proofErr w:type="spellStart"/>
      <w:r w:rsidRPr="0023547A">
        <w:rPr>
          <w:rFonts w:ascii="Arial" w:hAnsi="Arial" w:cs="Arial"/>
          <w:color w:val="474747"/>
          <w:sz w:val="20"/>
          <w:szCs w:val="20"/>
          <w:shd w:val="clear" w:color="auto" w:fill="FFFFFF"/>
          <w:lang w:val="es-ES" w:eastAsia="es-ES"/>
        </w:rPr>
        <w:t>of</w:t>
      </w:r>
      <w:proofErr w:type="spellEnd"/>
      <w:r w:rsidRPr="0023547A">
        <w:rPr>
          <w:rFonts w:ascii="Arial" w:hAnsi="Arial" w:cs="Arial"/>
          <w:color w:val="474747"/>
          <w:sz w:val="20"/>
          <w:szCs w:val="20"/>
          <w:shd w:val="clear" w:color="auto" w:fill="FFFFFF"/>
          <w:lang w:val="es-ES" w:eastAsia="es-ES"/>
        </w:rPr>
        <w:t xml:space="preserve"> </w:t>
      </w:r>
      <w:proofErr w:type="spellStart"/>
      <w:r w:rsidRPr="0023547A">
        <w:rPr>
          <w:rFonts w:ascii="Arial" w:hAnsi="Arial" w:cs="Arial"/>
          <w:color w:val="474747"/>
          <w:sz w:val="20"/>
          <w:szCs w:val="20"/>
          <w:shd w:val="clear" w:color="auto" w:fill="FFFFFF"/>
          <w:lang w:val="es-ES" w:eastAsia="es-ES"/>
        </w:rPr>
        <w:t>Service</w:t>
      </w:r>
      <w:proofErr w:type="spellEnd"/>
      <w:r w:rsidRPr="0023547A">
        <w:rPr>
          <w:rFonts w:ascii="Arial" w:hAnsi="Arial" w:cs="Arial"/>
          <w:color w:val="474747"/>
          <w:sz w:val="20"/>
          <w:szCs w:val="20"/>
          <w:shd w:val="clear" w:color="auto" w:fill="FFFFFF"/>
          <w:lang w:val="es-ES" w:eastAsia="es-ES"/>
        </w:rPr>
        <w:t>) </w:t>
      </w:r>
      <w:proofErr w:type="gramStart"/>
      <w:r>
        <w:rPr>
          <w:rFonts w:ascii="Arial" w:hAnsi="Arial" w:cs="Arial"/>
          <w:color w:val="474747"/>
          <w:sz w:val="20"/>
          <w:szCs w:val="20"/>
          <w:shd w:val="clear" w:color="auto" w:fill="FFFFFF"/>
          <w:lang w:val="es-ES" w:eastAsia="es-ES"/>
        </w:rPr>
        <w:t xml:space="preserve">permiten </w:t>
      </w:r>
      <w:r w:rsidRPr="0023547A">
        <w:rPr>
          <w:rFonts w:ascii="Arial" w:hAnsi="Arial" w:cs="Arial"/>
          <w:color w:val="474747"/>
          <w:sz w:val="20"/>
          <w:szCs w:val="20"/>
          <w:shd w:val="clear" w:color="auto" w:fill="FFFFFF"/>
          <w:lang w:val="es-ES" w:eastAsia="es-ES"/>
        </w:rPr>
        <w:t xml:space="preserve"> garantizar</w:t>
      </w:r>
      <w:proofErr w:type="gramEnd"/>
      <w:r w:rsidRPr="0023547A">
        <w:rPr>
          <w:rFonts w:ascii="Arial" w:hAnsi="Arial" w:cs="Arial"/>
          <w:color w:val="474747"/>
          <w:sz w:val="20"/>
          <w:szCs w:val="20"/>
          <w:shd w:val="clear" w:color="auto" w:fill="FFFFFF"/>
          <w:lang w:val="es-ES" w:eastAsia="es-ES"/>
        </w:rPr>
        <w:t xml:space="preserve"> la calidad de audio adecuad</w:t>
      </w:r>
      <w:r>
        <w:rPr>
          <w:rFonts w:ascii="Arial" w:hAnsi="Arial" w:cs="Arial"/>
          <w:color w:val="474747"/>
          <w:sz w:val="20"/>
          <w:szCs w:val="20"/>
          <w:shd w:val="clear" w:color="auto" w:fill="FFFFFF"/>
          <w:lang w:val="es-ES" w:eastAsia="es-ES"/>
        </w:rPr>
        <w:t>o</w:t>
      </w:r>
      <w:r w:rsidRPr="0023547A">
        <w:rPr>
          <w:rFonts w:ascii="Arial" w:hAnsi="Arial" w:cs="Arial"/>
          <w:color w:val="474747"/>
          <w:sz w:val="20"/>
          <w:szCs w:val="20"/>
          <w:shd w:val="clear" w:color="auto" w:fill="FFFFFF"/>
          <w:lang w:val="es-ES" w:eastAsia="es-ES"/>
        </w:rPr>
        <w:t xml:space="preserve"> para mantener una llamada en buenas condiciones. Su </w:t>
      </w:r>
      <w:r w:rsidRPr="0023547A">
        <w:rPr>
          <w:rFonts w:ascii="Arial" w:hAnsi="Arial" w:cs="Arial"/>
          <w:color w:val="474747"/>
          <w:sz w:val="20"/>
          <w:szCs w:val="20"/>
          <w:lang w:val="es-ES" w:eastAsia="es-ES"/>
        </w:rPr>
        <w:t>principal función es la de priorizar el tráfico en la red</w:t>
      </w:r>
      <w:r w:rsidRPr="0023547A">
        <w:rPr>
          <w:rFonts w:ascii="Arial" w:hAnsi="Arial" w:cs="Arial"/>
          <w:color w:val="474747"/>
          <w:sz w:val="20"/>
          <w:szCs w:val="20"/>
          <w:shd w:val="clear" w:color="auto" w:fill="FFFFFF"/>
          <w:lang w:val="es-ES" w:eastAsia="es-ES"/>
        </w:rPr>
        <w:t>, así se puede dar más ancho de banda al tráfico más importante y ralentizar el que lo es menos.</w:t>
      </w:r>
    </w:p>
    <w:p w14:paraId="73FF87EC" w14:textId="77777777" w:rsidR="00636D92" w:rsidRDefault="00636D92" w:rsidP="00636D92">
      <w:pPr>
        <w:pStyle w:val="trt0xe"/>
        <w:shd w:val="clear" w:color="auto" w:fill="FFFFFF"/>
        <w:spacing w:before="0" w:beforeAutospacing="0" w:after="60" w:afterAutospacing="0"/>
        <w:jc w:val="both"/>
        <w:rPr>
          <w:rFonts w:ascii="Arial" w:hAnsi="Arial" w:cs="Arial"/>
          <w:color w:val="474747"/>
          <w:sz w:val="20"/>
          <w:szCs w:val="20"/>
          <w:lang w:val="es-ES" w:eastAsia="es-ES"/>
        </w:rPr>
      </w:pPr>
    </w:p>
    <w:p w14:paraId="2D0E5814" w14:textId="77777777" w:rsidR="00636D92" w:rsidRPr="0023547A" w:rsidRDefault="00636D92" w:rsidP="00636D92">
      <w:pPr>
        <w:pStyle w:val="trt0xe"/>
        <w:shd w:val="clear" w:color="auto" w:fill="FFFFFF"/>
        <w:spacing w:before="0" w:beforeAutospacing="0" w:after="60" w:afterAutospacing="0"/>
        <w:jc w:val="both"/>
        <w:rPr>
          <w:rFonts w:ascii="Arial" w:hAnsi="Arial" w:cs="Arial"/>
          <w:color w:val="474747"/>
          <w:sz w:val="20"/>
          <w:szCs w:val="20"/>
          <w:shd w:val="clear" w:color="auto" w:fill="FFFFFF"/>
          <w:lang w:val="es-ES" w:eastAsia="es-ES"/>
        </w:rPr>
      </w:pPr>
      <w:r w:rsidRPr="0023547A">
        <w:rPr>
          <w:rFonts w:ascii="Arial" w:hAnsi="Arial" w:cs="Arial"/>
          <w:color w:val="474747"/>
          <w:sz w:val="20"/>
          <w:szCs w:val="20"/>
          <w:lang w:val="es-ES" w:eastAsia="es-ES"/>
        </w:rPr>
        <w:t>VoIP requieren un mayor ancho de banda para una disponibilidad preferente</w:t>
      </w:r>
      <w:r w:rsidRPr="0023547A">
        <w:rPr>
          <w:rFonts w:ascii="Arial" w:hAnsi="Arial" w:cs="Arial"/>
          <w:color w:val="474747"/>
          <w:sz w:val="20"/>
          <w:szCs w:val="20"/>
          <w:shd w:val="clear" w:color="auto" w:fill="FFFFFF"/>
          <w:lang w:val="es-ES" w:eastAsia="es-ES"/>
        </w:rPr>
        <w:t> </w:t>
      </w:r>
      <w:r w:rsidRPr="0023547A">
        <w:rPr>
          <w:rFonts w:ascii="Arial" w:hAnsi="Arial" w:cs="Arial"/>
          <w:color w:val="474747"/>
          <w:sz w:val="20"/>
          <w:szCs w:val="20"/>
          <w:lang w:val="es-ES" w:eastAsia="es-ES"/>
        </w:rPr>
        <w:t>en la red</w:t>
      </w:r>
      <w:r w:rsidRPr="0023547A">
        <w:rPr>
          <w:rFonts w:ascii="Arial" w:hAnsi="Arial" w:cs="Arial"/>
          <w:color w:val="474747"/>
          <w:sz w:val="20"/>
          <w:szCs w:val="20"/>
          <w:shd w:val="clear" w:color="auto" w:fill="FFFFFF"/>
          <w:lang w:val="es-ES" w:eastAsia="es-ES"/>
        </w:rPr>
        <w:t xml:space="preserve">. Una de las soluciones más utilizadas en estos casos es la de aumentar el ancho de banda sin más precauciones. </w:t>
      </w:r>
    </w:p>
    <w:p w14:paraId="7E835120" w14:textId="77777777" w:rsidR="00636D92" w:rsidRDefault="00636D92" w:rsidP="00636D92">
      <w:pPr>
        <w:rPr>
          <w:lang w:val="es-ES_tradnl"/>
        </w:rPr>
      </w:pPr>
    </w:p>
    <w:p w14:paraId="5D6B5250" w14:textId="77777777" w:rsidR="00636D92" w:rsidRDefault="00636D92" w:rsidP="00636D92">
      <w:pPr>
        <w:rPr>
          <w:lang w:val="es-ES_tradnl"/>
        </w:rPr>
      </w:pPr>
    </w:p>
    <w:p w14:paraId="66678858" w14:textId="198C8ED5" w:rsidR="00636D92" w:rsidRDefault="00636D92" w:rsidP="00636D92">
      <w:pPr>
        <w:jc w:val="center"/>
        <w:rPr>
          <w:lang w:val="es-ES_tradnl"/>
        </w:rPr>
      </w:pPr>
      <w:r>
        <w:rPr>
          <w:lang w:val="es-ES_tradnl"/>
        </w:rPr>
        <w:lastRenderedPageBreak/>
        <w:t>TABLA DE BONIFICACIONES POR FALLAS EN EL INTERNET</w:t>
      </w:r>
    </w:p>
    <w:p w14:paraId="5DDD8360" w14:textId="77777777" w:rsidR="00DA16DD" w:rsidRDefault="00DA16DD" w:rsidP="00636D92">
      <w:pPr>
        <w:jc w:val="center"/>
        <w:rPr>
          <w:lang w:val="es-ES_tradnl"/>
        </w:rPr>
      </w:pPr>
    </w:p>
    <w:p w14:paraId="6252ECD9" w14:textId="77777777" w:rsidR="00636D92" w:rsidRDefault="00636D92" w:rsidP="00636D92">
      <w:pPr>
        <w:jc w:val="center"/>
        <w:rPr>
          <w:lang w:val="es-ES_tradnl"/>
        </w:rPr>
      </w:pPr>
    </w:p>
    <w:tbl>
      <w:tblPr>
        <w:tblW w:w="5140" w:type="dxa"/>
        <w:jc w:val="center"/>
        <w:tblCellMar>
          <w:left w:w="70" w:type="dxa"/>
          <w:right w:w="70" w:type="dxa"/>
        </w:tblCellMar>
        <w:tblLook w:val="04A0" w:firstRow="1" w:lastRow="0" w:firstColumn="1" w:lastColumn="0" w:noHBand="0" w:noVBand="1"/>
      </w:tblPr>
      <w:tblGrid>
        <w:gridCol w:w="2140"/>
        <w:gridCol w:w="3000"/>
      </w:tblGrid>
      <w:tr w:rsidR="0017451C" w:rsidRPr="00636D92" w14:paraId="4FE2987F" w14:textId="77777777" w:rsidTr="00DA16DD">
        <w:trPr>
          <w:trHeight w:val="405"/>
          <w:jc w:val="center"/>
        </w:trPr>
        <w:tc>
          <w:tcPr>
            <w:tcW w:w="21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246184EE" w14:textId="77777777" w:rsidR="0017451C" w:rsidRPr="00DA16DD" w:rsidRDefault="0017451C" w:rsidP="00DA16DD">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Disponibilidad [%]</w:t>
            </w:r>
          </w:p>
        </w:tc>
        <w:tc>
          <w:tcPr>
            <w:tcW w:w="3000" w:type="dxa"/>
            <w:tcBorders>
              <w:top w:val="single" w:sz="4" w:space="0" w:color="auto"/>
              <w:left w:val="nil"/>
              <w:bottom w:val="single" w:sz="4" w:space="0" w:color="auto"/>
              <w:right w:val="single" w:sz="4" w:space="0" w:color="auto"/>
            </w:tcBorders>
            <w:shd w:val="clear" w:color="000000" w:fill="2F75B5"/>
            <w:noWrap/>
            <w:vAlign w:val="bottom"/>
            <w:hideMark/>
          </w:tcPr>
          <w:p w14:paraId="4CB8B2CB" w14:textId="77777777" w:rsidR="0017451C" w:rsidRPr="00DA16DD" w:rsidRDefault="0017451C" w:rsidP="00DA16DD">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 xml:space="preserve">Porcentaje de </w:t>
            </w:r>
            <w:proofErr w:type="spellStart"/>
            <w:r w:rsidRPr="00DA16DD">
              <w:rPr>
                <w:rFonts w:ascii="Arial" w:hAnsi="Arial" w:cs="Arial"/>
                <w:b/>
                <w:bCs/>
                <w:color w:val="FFFFFF" w:themeColor="background1"/>
                <w:highlight w:val="darkCyan"/>
                <w:shd w:val="clear" w:color="auto" w:fill="FFFFFF"/>
              </w:rPr>
              <w:t>Bonificacion</w:t>
            </w:r>
            <w:proofErr w:type="spellEnd"/>
            <w:r w:rsidRPr="00DA16DD">
              <w:rPr>
                <w:rFonts w:ascii="Arial" w:hAnsi="Arial" w:cs="Arial"/>
                <w:b/>
                <w:bCs/>
                <w:color w:val="FFFFFF" w:themeColor="background1"/>
                <w:highlight w:val="darkCyan"/>
                <w:shd w:val="clear" w:color="auto" w:fill="FFFFFF"/>
              </w:rPr>
              <w:t xml:space="preserve"> (%)</w:t>
            </w:r>
          </w:p>
          <w:p w14:paraId="64B005FD" w14:textId="77777777" w:rsidR="0017451C" w:rsidRPr="00DA16DD" w:rsidRDefault="0017451C" w:rsidP="00DA16DD">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Sobre la renta mensual</w:t>
            </w:r>
          </w:p>
        </w:tc>
      </w:tr>
      <w:tr w:rsidR="0017451C" w:rsidRPr="00636D92" w14:paraId="6BD08263" w14:textId="77777777" w:rsidTr="00DA16DD">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17ACE14" w14:textId="77777777" w:rsidR="0017451C" w:rsidRPr="00636D92" w:rsidRDefault="0017451C" w:rsidP="00DA16DD">
            <w:pPr>
              <w:jc w:val="center"/>
              <w:rPr>
                <w:rFonts w:ascii="Arial" w:hAnsi="Arial" w:cs="Arial"/>
                <w:color w:val="474747"/>
                <w:shd w:val="clear" w:color="auto" w:fill="FFFFFF"/>
              </w:rPr>
            </w:pPr>
            <w:r w:rsidRPr="00636D92">
              <w:rPr>
                <w:rFonts w:ascii="Arial" w:hAnsi="Arial" w:cs="Arial"/>
                <w:color w:val="474747"/>
                <w:shd w:val="clear" w:color="auto" w:fill="FFFFFF"/>
              </w:rPr>
              <w:t>97.7</w:t>
            </w:r>
          </w:p>
        </w:tc>
        <w:tc>
          <w:tcPr>
            <w:tcW w:w="3000" w:type="dxa"/>
            <w:tcBorders>
              <w:top w:val="nil"/>
              <w:left w:val="nil"/>
              <w:bottom w:val="single" w:sz="4" w:space="0" w:color="auto"/>
              <w:right w:val="single" w:sz="4" w:space="0" w:color="auto"/>
            </w:tcBorders>
            <w:shd w:val="clear" w:color="auto" w:fill="auto"/>
            <w:noWrap/>
            <w:vAlign w:val="bottom"/>
            <w:hideMark/>
          </w:tcPr>
          <w:p w14:paraId="592B43AF" w14:textId="77777777" w:rsidR="0017451C" w:rsidRPr="00636D92" w:rsidRDefault="0017451C" w:rsidP="00DA16DD">
            <w:pPr>
              <w:jc w:val="center"/>
              <w:rPr>
                <w:rFonts w:ascii="Arial" w:hAnsi="Arial" w:cs="Arial"/>
                <w:color w:val="474747"/>
                <w:shd w:val="clear" w:color="auto" w:fill="FFFFFF"/>
              </w:rPr>
            </w:pPr>
            <w:r w:rsidRPr="00636D92">
              <w:rPr>
                <w:rFonts w:ascii="Arial" w:hAnsi="Arial" w:cs="Arial"/>
                <w:color w:val="474747"/>
                <w:shd w:val="clear" w:color="auto" w:fill="FFFFFF"/>
              </w:rPr>
              <w:t>20</w:t>
            </w:r>
          </w:p>
        </w:tc>
      </w:tr>
      <w:tr w:rsidR="0017451C" w:rsidRPr="00636D92" w14:paraId="7FEC939A" w14:textId="77777777" w:rsidTr="00DA16DD">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9270CCC" w14:textId="0A213366" w:rsidR="0017451C" w:rsidRPr="00636D92" w:rsidRDefault="0017451C" w:rsidP="00DA16DD">
            <w:pPr>
              <w:jc w:val="center"/>
              <w:rPr>
                <w:rFonts w:ascii="Arial" w:hAnsi="Arial" w:cs="Arial"/>
                <w:color w:val="474747"/>
                <w:shd w:val="clear" w:color="auto" w:fill="FFFFFF"/>
              </w:rPr>
            </w:pPr>
            <w:r>
              <w:rPr>
                <w:rFonts w:ascii="Arial" w:hAnsi="Arial" w:cs="Arial"/>
                <w:color w:val="474747"/>
                <w:shd w:val="clear" w:color="auto" w:fill="FFFFFF"/>
              </w:rPr>
              <w:t xml:space="preserve">Menos de </w:t>
            </w:r>
            <w:r w:rsidRPr="00636D92">
              <w:rPr>
                <w:rFonts w:ascii="Arial" w:hAnsi="Arial" w:cs="Arial"/>
                <w:color w:val="474747"/>
                <w:shd w:val="clear" w:color="auto" w:fill="FFFFFF"/>
              </w:rPr>
              <w:t>97.7</w:t>
            </w:r>
            <w:r>
              <w:rPr>
                <w:rFonts w:ascii="Arial" w:hAnsi="Arial" w:cs="Arial"/>
                <w:color w:val="474747"/>
                <w:shd w:val="clear" w:color="auto" w:fill="FFFFFF"/>
              </w:rPr>
              <w:t xml:space="preserve"> y hasta 75</w:t>
            </w:r>
          </w:p>
        </w:tc>
        <w:tc>
          <w:tcPr>
            <w:tcW w:w="3000" w:type="dxa"/>
            <w:tcBorders>
              <w:top w:val="nil"/>
              <w:left w:val="nil"/>
              <w:bottom w:val="single" w:sz="4" w:space="0" w:color="auto"/>
              <w:right w:val="single" w:sz="4" w:space="0" w:color="auto"/>
            </w:tcBorders>
            <w:shd w:val="clear" w:color="auto" w:fill="auto"/>
            <w:noWrap/>
            <w:vAlign w:val="bottom"/>
            <w:hideMark/>
          </w:tcPr>
          <w:p w14:paraId="1825DF19" w14:textId="57292416" w:rsidR="0017451C" w:rsidRPr="00636D92" w:rsidRDefault="0017451C" w:rsidP="00DA16DD">
            <w:pPr>
              <w:jc w:val="center"/>
              <w:rPr>
                <w:rFonts w:ascii="Arial" w:hAnsi="Arial" w:cs="Arial"/>
                <w:color w:val="474747"/>
                <w:shd w:val="clear" w:color="auto" w:fill="FFFFFF"/>
              </w:rPr>
            </w:pPr>
            <w:r>
              <w:rPr>
                <w:rFonts w:ascii="Arial" w:hAnsi="Arial" w:cs="Arial"/>
                <w:color w:val="474747"/>
                <w:shd w:val="clear" w:color="auto" w:fill="FFFFFF"/>
              </w:rPr>
              <w:t>40</w:t>
            </w:r>
          </w:p>
        </w:tc>
      </w:tr>
      <w:tr w:rsidR="0017451C" w:rsidRPr="00636D92" w14:paraId="503BC347" w14:textId="77777777" w:rsidTr="00DA16DD">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4E4690C" w14:textId="1D77A095" w:rsidR="0017451C" w:rsidRPr="00636D92" w:rsidRDefault="0017451C" w:rsidP="00DA16DD">
            <w:pPr>
              <w:jc w:val="center"/>
              <w:rPr>
                <w:rFonts w:ascii="Arial" w:hAnsi="Arial" w:cs="Arial"/>
                <w:color w:val="474747"/>
                <w:shd w:val="clear" w:color="auto" w:fill="FFFFFF"/>
              </w:rPr>
            </w:pPr>
            <w:r>
              <w:rPr>
                <w:rFonts w:ascii="Arial" w:hAnsi="Arial" w:cs="Arial"/>
                <w:color w:val="474747"/>
                <w:shd w:val="clear" w:color="auto" w:fill="FFFFFF"/>
              </w:rPr>
              <w:t>M</w:t>
            </w:r>
            <w:r>
              <w:rPr>
                <w:rFonts w:ascii="Arial" w:hAnsi="Arial" w:cs="Arial"/>
                <w:color w:val="474747"/>
                <w:shd w:val="clear" w:color="auto" w:fill="FFFFFF"/>
              </w:rPr>
              <w:t>enos</w:t>
            </w:r>
            <w:r>
              <w:rPr>
                <w:rFonts w:ascii="Arial" w:hAnsi="Arial" w:cs="Arial"/>
                <w:color w:val="474747"/>
                <w:shd w:val="clear" w:color="auto" w:fill="FFFFFF"/>
              </w:rPr>
              <w:t xml:space="preserve"> de </w:t>
            </w:r>
            <w:r w:rsidRPr="00636D92">
              <w:rPr>
                <w:rFonts w:ascii="Arial" w:hAnsi="Arial" w:cs="Arial"/>
                <w:color w:val="474747"/>
                <w:shd w:val="clear" w:color="auto" w:fill="FFFFFF"/>
              </w:rPr>
              <w:t>7</w:t>
            </w:r>
            <w:r>
              <w:rPr>
                <w:rFonts w:ascii="Arial" w:hAnsi="Arial" w:cs="Arial"/>
                <w:color w:val="474747"/>
                <w:shd w:val="clear" w:color="auto" w:fill="FFFFFF"/>
              </w:rPr>
              <w:t>5</w:t>
            </w:r>
            <w:r w:rsidRPr="00636D92">
              <w:rPr>
                <w:rFonts w:ascii="Arial" w:hAnsi="Arial" w:cs="Arial"/>
                <w:color w:val="474747"/>
                <w:shd w:val="clear" w:color="auto" w:fill="FFFFFF"/>
              </w:rPr>
              <w:t>.</w:t>
            </w:r>
            <w:r>
              <w:rPr>
                <w:rFonts w:ascii="Arial" w:hAnsi="Arial" w:cs="Arial"/>
                <w:color w:val="474747"/>
                <w:shd w:val="clear" w:color="auto" w:fill="FFFFFF"/>
              </w:rPr>
              <w:t xml:space="preserve"> y hasta 5</w:t>
            </w:r>
            <w:r>
              <w:rPr>
                <w:rFonts w:ascii="Arial" w:hAnsi="Arial" w:cs="Arial"/>
                <w:color w:val="474747"/>
                <w:shd w:val="clear" w:color="auto" w:fill="FFFFFF"/>
              </w:rPr>
              <w:t>0</w:t>
            </w:r>
          </w:p>
        </w:tc>
        <w:tc>
          <w:tcPr>
            <w:tcW w:w="3000" w:type="dxa"/>
            <w:tcBorders>
              <w:top w:val="nil"/>
              <w:left w:val="nil"/>
              <w:bottom w:val="single" w:sz="4" w:space="0" w:color="auto"/>
              <w:right w:val="single" w:sz="4" w:space="0" w:color="auto"/>
            </w:tcBorders>
            <w:shd w:val="clear" w:color="auto" w:fill="auto"/>
            <w:noWrap/>
            <w:vAlign w:val="bottom"/>
            <w:hideMark/>
          </w:tcPr>
          <w:p w14:paraId="299EE81F" w14:textId="015AE731" w:rsidR="0017451C" w:rsidRPr="00636D92" w:rsidRDefault="0017451C" w:rsidP="00DA16DD">
            <w:pPr>
              <w:jc w:val="center"/>
              <w:rPr>
                <w:rFonts w:ascii="Arial" w:hAnsi="Arial" w:cs="Arial"/>
                <w:color w:val="474747"/>
                <w:shd w:val="clear" w:color="auto" w:fill="FFFFFF"/>
              </w:rPr>
            </w:pPr>
            <w:r>
              <w:rPr>
                <w:rFonts w:ascii="Arial" w:hAnsi="Arial" w:cs="Arial"/>
                <w:color w:val="474747"/>
                <w:shd w:val="clear" w:color="auto" w:fill="FFFFFF"/>
              </w:rPr>
              <w:t>6</w:t>
            </w:r>
            <w:r>
              <w:rPr>
                <w:rFonts w:ascii="Arial" w:hAnsi="Arial" w:cs="Arial"/>
                <w:color w:val="474747"/>
                <w:shd w:val="clear" w:color="auto" w:fill="FFFFFF"/>
              </w:rPr>
              <w:t>0</w:t>
            </w:r>
          </w:p>
        </w:tc>
      </w:tr>
      <w:tr w:rsidR="0017451C" w:rsidRPr="00636D92" w14:paraId="21801A88" w14:textId="77777777" w:rsidTr="00DA16DD">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A691B98" w14:textId="01DC89FB" w:rsidR="0017451C" w:rsidRPr="00636D92" w:rsidRDefault="0017451C" w:rsidP="00DA16DD">
            <w:pPr>
              <w:jc w:val="center"/>
              <w:rPr>
                <w:rFonts w:ascii="Arial" w:hAnsi="Arial" w:cs="Arial"/>
                <w:color w:val="474747"/>
                <w:shd w:val="clear" w:color="auto" w:fill="FFFFFF"/>
              </w:rPr>
            </w:pPr>
            <w:r>
              <w:rPr>
                <w:rFonts w:ascii="Arial" w:hAnsi="Arial" w:cs="Arial"/>
                <w:color w:val="474747"/>
                <w:shd w:val="clear" w:color="auto" w:fill="FFFFFF"/>
              </w:rPr>
              <w:t>M</w:t>
            </w:r>
            <w:r>
              <w:rPr>
                <w:rFonts w:ascii="Arial" w:hAnsi="Arial" w:cs="Arial"/>
                <w:color w:val="474747"/>
                <w:shd w:val="clear" w:color="auto" w:fill="FFFFFF"/>
              </w:rPr>
              <w:t>enos</w:t>
            </w:r>
            <w:r>
              <w:rPr>
                <w:rFonts w:ascii="Arial" w:hAnsi="Arial" w:cs="Arial"/>
                <w:color w:val="474747"/>
                <w:shd w:val="clear" w:color="auto" w:fill="FFFFFF"/>
              </w:rPr>
              <w:t xml:space="preserve"> de 5</w:t>
            </w:r>
            <w:r>
              <w:rPr>
                <w:rFonts w:ascii="Arial" w:hAnsi="Arial" w:cs="Arial"/>
                <w:color w:val="474747"/>
                <w:shd w:val="clear" w:color="auto" w:fill="FFFFFF"/>
              </w:rPr>
              <w:t>0</w:t>
            </w:r>
          </w:p>
        </w:tc>
        <w:tc>
          <w:tcPr>
            <w:tcW w:w="3000" w:type="dxa"/>
            <w:tcBorders>
              <w:top w:val="nil"/>
              <w:left w:val="nil"/>
              <w:bottom w:val="single" w:sz="4" w:space="0" w:color="auto"/>
              <w:right w:val="single" w:sz="4" w:space="0" w:color="auto"/>
            </w:tcBorders>
            <w:shd w:val="clear" w:color="auto" w:fill="auto"/>
            <w:noWrap/>
            <w:vAlign w:val="bottom"/>
            <w:hideMark/>
          </w:tcPr>
          <w:p w14:paraId="2D54990C" w14:textId="5EDBD116" w:rsidR="0017451C" w:rsidRPr="00636D92" w:rsidRDefault="00DA16DD" w:rsidP="00DA16DD">
            <w:pPr>
              <w:jc w:val="center"/>
              <w:rPr>
                <w:rFonts w:ascii="Arial" w:hAnsi="Arial" w:cs="Arial"/>
                <w:color w:val="474747"/>
                <w:shd w:val="clear" w:color="auto" w:fill="FFFFFF"/>
              </w:rPr>
            </w:pPr>
            <w:r>
              <w:rPr>
                <w:rFonts w:ascii="Arial" w:hAnsi="Arial" w:cs="Arial"/>
                <w:color w:val="474747"/>
                <w:shd w:val="clear" w:color="auto" w:fill="FFFFFF"/>
              </w:rPr>
              <w:t>10</w:t>
            </w:r>
            <w:r w:rsidR="0017451C">
              <w:rPr>
                <w:rFonts w:ascii="Arial" w:hAnsi="Arial" w:cs="Arial"/>
                <w:color w:val="474747"/>
                <w:shd w:val="clear" w:color="auto" w:fill="FFFFFF"/>
              </w:rPr>
              <w:t>0</w:t>
            </w:r>
          </w:p>
        </w:tc>
      </w:tr>
    </w:tbl>
    <w:p w14:paraId="07C508AB" w14:textId="77777777" w:rsidR="00636D92" w:rsidRDefault="00636D92" w:rsidP="00DA16DD">
      <w:pPr>
        <w:jc w:val="center"/>
        <w:rPr>
          <w:lang w:val="es-ES_tradnl"/>
        </w:rPr>
      </w:pPr>
    </w:p>
    <w:p w14:paraId="3D5E1F75" w14:textId="77777777" w:rsidR="00FB6364" w:rsidRDefault="00FB6364" w:rsidP="00DA16DD">
      <w:pPr>
        <w:jc w:val="center"/>
        <w:rPr>
          <w:lang w:val="es-ES_tradnl"/>
        </w:rPr>
      </w:pPr>
    </w:p>
    <w:p w14:paraId="4641FE14" w14:textId="77777777" w:rsidR="00FB6364" w:rsidRDefault="00FB6364" w:rsidP="00DA16DD">
      <w:pPr>
        <w:jc w:val="center"/>
        <w:rPr>
          <w:lang w:val="es-ES_tradnl"/>
        </w:rPr>
      </w:pPr>
    </w:p>
    <w:p w14:paraId="4B445B9D" w14:textId="51E7A043" w:rsidR="00FB6364" w:rsidRDefault="00FB6364" w:rsidP="00FB6364">
      <w:pPr>
        <w:jc w:val="center"/>
        <w:rPr>
          <w:lang w:val="es-ES_tradnl"/>
        </w:rPr>
      </w:pPr>
      <w:r>
        <w:rPr>
          <w:lang w:val="es-ES_tradnl"/>
        </w:rPr>
        <w:t xml:space="preserve">TABLA DE BONIFICACIONES POR FALLAS EN </w:t>
      </w:r>
      <w:r>
        <w:rPr>
          <w:lang w:val="es-ES_tradnl"/>
        </w:rPr>
        <w:t>SERVICIO DE TELEFONÍA IP</w:t>
      </w:r>
    </w:p>
    <w:p w14:paraId="187B702D" w14:textId="77777777" w:rsidR="00FB6364" w:rsidRDefault="00FB6364" w:rsidP="00FB6364">
      <w:pPr>
        <w:jc w:val="center"/>
        <w:rPr>
          <w:lang w:val="es-ES_tradnl"/>
        </w:rPr>
      </w:pPr>
    </w:p>
    <w:p w14:paraId="528B3587" w14:textId="77777777" w:rsidR="00FB6364" w:rsidRDefault="00FB6364" w:rsidP="00FB6364">
      <w:pPr>
        <w:jc w:val="both"/>
        <w:rPr>
          <w:lang w:val="es-ES_tradnl"/>
        </w:rPr>
      </w:pPr>
    </w:p>
    <w:p w14:paraId="2812F81D" w14:textId="77777777" w:rsidR="00FB6364" w:rsidRDefault="00FB6364" w:rsidP="00FB6364">
      <w:pPr>
        <w:jc w:val="both"/>
        <w:rPr>
          <w:lang w:val="es-ES_tradnl"/>
        </w:rPr>
      </w:pPr>
    </w:p>
    <w:tbl>
      <w:tblPr>
        <w:tblW w:w="5140" w:type="dxa"/>
        <w:jc w:val="center"/>
        <w:tblCellMar>
          <w:left w:w="70" w:type="dxa"/>
          <w:right w:w="70" w:type="dxa"/>
        </w:tblCellMar>
        <w:tblLook w:val="04A0" w:firstRow="1" w:lastRow="0" w:firstColumn="1" w:lastColumn="0" w:noHBand="0" w:noVBand="1"/>
      </w:tblPr>
      <w:tblGrid>
        <w:gridCol w:w="2140"/>
        <w:gridCol w:w="3000"/>
      </w:tblGrid>
      <w:tr w:rsidR="00DA16DD" w:rsidRPr="00DA16DD" w14:paraId="0A5ACBA3" w14:textId="77777777" w:rsidTr="004A1C80">
        <w:trPr>
          <w:trHeight w:val="405"/>
          <w:jc w:val="center"/>
        </w:trPr>
        <w:tc>
          <w:tcPr>
            <w:tcW w:w="2140" w:type="dxa"/>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520CB52D" w14:textId="77777777" w:rsidR="00DA16DD" w:rsidRPr="00DA16DD" w:rsidRDefault="00DA16DD" w:rsidP="004A1C80">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Disponibilidad [%]</w:t>
            </w:r>
          </w:p>
        </w:tc>
        <w:tc>
          <w:tcPr>
            <w:tcW w:w="3000" w:type="dxa"/>
            <w:tcBorders>
              <w:top w:val="single" w:sz="4" w:space="0" w:color="auto"/>
              <w:left w:val="nil"/>
              <w:bottom w:val="single" w:sz="4" w:space="0" w:color="auto"/>
              <w:right w:val="single" w:sz="4" w:space="0" w:color="auto"/>
            </w:tcBorders>
            <w:shd w:val="clear" w:color="000000" w:fill="2F75B5"/>
            <w:noWrap/>
            <w:vAlign w:val="bottom"/>
            <w:hideMark/>
          </w:tcPr>
          <w:p w14:paraId="4C8F6F11" w14:textId="77777777" w:rsidR="00DA16DD" w:rsidRPr="00DA16DD" w:rsidRDefault="00DA16DD" w:rsidP="004A1C80">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 xml:space="preserve">Porcentaje de </w:t>
            </w:r>
            <w:proofErr w:type="spellStart"/>
            <w:r w:rsidRPr="00DA16DD">
              <w:rPr>
                <w:rFonts w:ascii="Arial" w:hAnsi="Arial" w:cs="Arial"/>
                <w:b/>
                <w:bCs/>
                <w:color w:val="FFFFFF" w:themeColor="background1"/>
                <w:highlight w:val="darkCyan"/>
                <w:shd w:val="clear" w:color="auto" w:fill="FFFFFF"/>
              </w:rPr>
              <w:t>Bonificacion</w:t>
            </w:r>
            <w:proofErr w:type="spellEnd"/>
            <w:r w:rsidRPr="00DA16DD">
              <w:rPr>
                <w:rFonts w:ascii="Arial" w:hAnsi="Arial" w:cs="Arial"/>
                <w:b/>
                <w:bCs/>
                <w:color w:val="FFFFFF" w:themeColor="background1"/>
                <w:highlight w:val="darkCyan"/>
                <w:shd w:val="clear" w:color="auto" w:fill="FFFFFF"/>
              </w:rPr>
              <w:t xml:space="preserve"> (%)</w:t>
            </w:r>
          </w:p>
          <w:p w14:paraId="35A4B259" w14:textId="77777777" w:rsidR="00DA16DD" w:rsidRPr="00DA16DD" w:rsidRDefault="00DA16DD" w:rsidP="004A1C80">
            <w:pPr>
              <w:jc w:val="center"/>
              <w:rPr>
                <w:rFonts w:ascii="Arial" w:hAnsi="Arial" w:cs="Arial"/>
                <w:b/>
                <w:bCs/>
                <w:color w:val="FFFFFF" w:themeColor="background1"/>
                <w:highlight w:val="darkCyan"/>
                <w:shd w:val="clear" w:color="auto" w:fill="FFFFFF"/>
              </w:rPr>
            </w:pPr>
            <w:r w:rsidRPr="00DA16DD">
              <w:rPr>
                <w:rFonts w:ascii="Arial" w:hAnsi="Arial" w:cs="Arial"/>
                <w:b/>
                <w:bCs/>
                <w:color w:val="FFFFFF" w:themeColor="background1"/>
                <w:highlight w:val="darkCyan"/>
                <w:shd w:val="clear" w:color="auto" w:fill="FFFFFF"/>
              </w:rPr>
              <w:t>Sobre la renta mensual</w:t>
            </w:r>
          </w:p>
        </w:tc>
      </w:tr>
      <w:tr w:rsidR="00DA16DD" w:rsidRPr="00636D92" w14:paraId="66D5171F" w14:textId="77777777" w:rsidTr="004A1C80">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842F4BF" w14:textId="77777777" w:rsidR="00DA16DD" w:rsidRPr="00636D92" w:rsidRDefault="00DA16DD" w:rsidP="004A1C80">
            <w:pPr>
              <w:jc w:val="center"/>
              <w:rPr>
                <w:rFonts w:ascii="Arial" w:hAnsi="Arial" w:cs="Arial"/>
                <w:color w:val="474747"/>
                <w:shd w:val="clear" w:color="auto" w:fill="FFFFFF"/>
              </w:rPr>
            </w:pPr>
            <w:r w:rsidRPr="00636D92">
              <w:rPr>
                <w:rFonts w:ascii="Arial" w:hAnsi="Arial" w:cs="Arial"/>
                <w:color w:val="474747"/>
                <w:shd w:val="clear" w:color="auto" w:fill="FFFFFF"/>
              </w:rPr>
              <w:t>97.7</w:t>
            </w:r>
          </w:p>
        </w:tc>
        <w:tc>
          <w:tcPr>
            <w:tcW w:w="3000" w:type="dxa"/>
            <w:tcBorders>
              <w:top w:val="nil"/>
              <w:left w:val="nil"/>
              <w:bottom w:val="single" w:sz="4" w:space="0" w:color="auto"/>
              <w:right w:val="single" w:sz="4" w:space="0" w:color="auto"/>
            </w:tcBorders>
            <w:shd w:val="clear" w:color="auto" w:fill="auto"/>
            <w:noWrap/>
            <w:vAlign w:val="bottom"/>
            <w:hideMark/>
          </w:tcPr>
          <w:p w14:paraId="1BB416A2" w14:textId="77777777" w:rsidR="00DA16DD" w:rsidRPr="00636D92" w:rsidRDefault="00DA16DD" w:rsidP="004A1C80">
            <w:pPr>
              <w:jc w:val="center"/>
              <w:rPr>
                <w:rFonts w:ascii="Arial" w:hAnsi="Arial" w:cs="Arial"/>
                <w:color w:val="474747"/>
                <w:shd w:val="clear" w:color="auto" w:fill="FFFFFF"/>
              </w:rPr>
            </w:pPr>
            <w:r w:rsidRPr="00636D92">
              <w:rPr>
                <w:rFonts w:ascii="Arial" w:hAnsi="Arial" w:cs="Arial"/>
                <w:color w:val="474747"/>
                <w:shd w:val="clear" w:color="auto" w:fill="FFFFFF"/>
              </w:rPr>
              <w:t>20</w:t>
            </w:r>
          </w:p>
        </w:tc>
      </w:tr>
      <w:tr w:rsidR="00DA16DD" w:rsidRPr="00636D92" w14:paraId="23187894" w14:textId="77777777" w:rsidTr="004A1C80">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7E4EB0A"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 xml:space="preserve">Menos de </w:t>
            </w:r>
            <w:r w:rsidRPr="00636D92">
              <w:rPr>
                <w:rFonts w:ascii="Arial" w:hAnsi="Arial" w:cs="Arial"/>
                <w:color w:val="474747"/>
                <w:shd w:val="clear" w:color="auto" w:fill="FFFFFF"/>
              </w:rPr>
              <w:t>97.7</w:t>
            </w:r>
            <w:r>
              <w:rPr>
                <w:rFonts w:ascii="Arial" w:hAnsi="Arial" w:cs="Arial"/>
                <w:color w:val="474747"/>
                <w:shd w:val="clear" w:color="auto" w:fill="FFFFFF"/>
              </w:rPr>
              <w:t xml:space="preserve"> y hasta 75</w:t>
            </w:r>
          </w:p>
        </w:tc>
        <w:tc>
          <w:tcPr>
            <w:tcW w:w="3000" w:type="dxa"/>
            <w:tcBorders>
              <w:top w:val="nil"/>
              <w:left w:val="nil"/>
              <w:bottom w:val="single" w:sz="4" w:space="0" w:color="auto"/>
              <w:right w:val="single" w:sz="4" w:space="0" w:color="auto"/>
            </w:tcBorders>
            <w:shd w:val="clear" w:color="auto" w:fill="auto"/>
            <w:noWrap/>
            <w:vAlign w:val="bottom"/>
            <w:hideMark/>
          </w:tcPr>
          <w:p w14:paraId="44198BE4"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40</w:t>
            </w:r>
          </w:p>
        </w:tc>
      </w:tr>
      <w:tr w:rsidR="00DA16DD" w:rsidRPr="00636D92" w14:paraId="4E580801" w14:textId="77777777" w:rsidTr="004A1C80">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CD69BEE"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 xml:space="preserve">Menos de </w:t>
            </w:r>
            <w:r w:rsidRPr="00636D92">
              <w:rPr>
                <w:rFonts w:ascii="Arial" w:hAnsi="Arial" w:cs="Arial"/>
                <w:color w:val="474747"/>
                <w:shd w:val="clear" w:color="auto" w:fill="FFFFFF"/>
              </w:rPr>
              <w:t>7</w:t>
            </w:r>
            <w:r>
              <w:rPr>
                <w:rFonts w:ascii="Arial" w:hAnsi="Arial" w:cs="Arial"/>
                <w:color w:val="474747"/>
                <w:shd w:val="clear" w:color="auto" w:fill="FFFFFF"/>
              </w:rPr>
              <w:t>5</w:t>
            </w:r>
            <w:r w:rsidRPr="00636D92">
              <w:rPr>
                <w:rFonts w:ascii="Arial" w:hAnsi="Arial" w:cs="Arial"/>
                <w:color w:val="474747"/>
                <w:shd w:val="clear" w:color="auto" w:fill="FFFFFF"/>
              </w:rPr>
              <w:t>.</w:t>
            </w:r>
            <w:r>
              <w:rPr>
                <w:rFonts w:ascii="Arial" w:hAnsi="Arial" w:cs="Arial"/>
                <w:color w:val="474747"/>
                <w:shd w:val="clear" w:color="auto" w:fill="FFFFFF"/>
              </w:rPr>
              <w:t xml:space="preserve"> y hasta 50</w:t>
            </w:r>
          </w:p>
        </w:tc>
        <w:tc>
          <w:tcPr>
            <w:tcW w:w="3000" w:type="dxa"/>
            <w:tcBorders>
              <w:top w:val="nil"/>
              <w:left w:val="nil"/>
              <w:bottom w:val="single" w:sz="4" w:space="0" w:color="auto"/>
              <w:right w:val="single" w:sz="4" w:space="0" w:color="auto"/>
            </w:tcBorders>
            <w:shd w:val="clear" w:color="auto" w:fill="auto"/>
            <w:noWrap/>
            <w:vAlign w:val="bottom"/>
            <w:hideMark/>
          </w:tcPr>
          <w:p w14:paraId="5028F551"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60</w:t>
            </w:r>
          </w:p>
        </w:tc>
      </w:tr>
      <w:tr w:rsidR="00DA16DD" w:rsidRPr="00636D92" w14:paraId="0B570D4B" w14:textId="77777777" w:rsidTr="004A1C80">
        <w:trPr>
          <w:trHeight w:val="405"/>
          <w:jc w:val="center"/>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2237F791"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Menos de 50</w:t>
            </w:r>
          </w:p>
        </w:tc>
        <w:tc>
          <w:tcPr>
            <w:tcW w:w="3000" w:type="dxa"/>
            <w:tcBorders>
              <w:top w:val="nil"/>
              <w:left w:val="nil"/>
              <w:bottom w:val="single" w:sz="4" w:space="0" w:color="auto"/>
              <w:right w:val="single" w:sz="4" w:space="0" w:color="auto"/>
            </w:tcBorders>
            <w:shd w:val="clear" w:color="auto" w:fill="auto"/>
            <w:noWrap/>
            <w:vAlign w:val="bottom"/>
            <w:hideMark/>
          </w:tcPr>
          <w:p w14:paraId="58212A0D" w14:textId="77777777" w:rsidR="00DA16DD" w:rsidRPr="00636D92" w:rsidRDefault="00DA16DD" w:rsidP="004A1C80">
            <w:pPr>
              <w:jc w:val="center"/>
              <w:rPr>
                <w:rFonts w:ascii="Arial" w:hAnsi="Arial" w:cs="Arial"/>
                <w:color w:val="474747"/>
                <w:shd w:val="clear" w:color="auto" w:fill="FFFFFF"/>
              </w:rPr>
            </w:pPr>
            <w:r>
              <w:rPr>
                <w:rFonts w:ascii="Arial" w:hAnsi="Arial" w:cs="Arial"/>
                <w:color w:val="474747"/>
                <w:shd w:val="clear" w:color="auto" w:fill="FFFFFF"/>
              </w:rPr>
              <w:t>100</w:t>
            </w:r>
          </w:p>
        </w:tc>
      </w:tr>
    </w:tbl>
    <w:p w14:paraId="56B079FA" w14:textId="77777777" w:rsidR="00FB6364" w:rsidRPr="00636D92" w:rsidRDefault="00FB6364" w:rsidP="00636D92">
      <w:pPr>
        <w:jc w:val="both"/>
        <w:rPr>
          <w:lang w:val="es-ES_tradnl"/>
        </w:rPr>
      </w:pPr>
    </w:p>
    <w:sectPr w:rsidR="00FB6364" w:rsidRPr="00636D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3E4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4364BA"/>
    <w:multiLevelType w:val="multilevel"/>
    <w:tmpl w:val="230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A83FE0"/>
    <w:multiLevelType w:val="multilevel"/>
    <w:tmpl w:val="7C7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172FD"/>
    <w:multiLevelType w:val="multilevel"/>
    <w:tmpl w:val="E4287C6A"/>
    <w:lvl w:ilvl="0">
      <w:start w:val="5"/>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3"/>
      <w:numFmt w:val="lowerRoman"/>
      <w:lvlText w:val="%3)"/>
      <w:lvlJc w:val="left"/>
      <w:pPr>
        <w:tabs>
          <w:tab w:val="num" w:pos="1440"/>
        </w:tabs>
        <w:ind w:left="1080" w:hanging="360"/>
      </w:pPr>
      <w:rPr>
        <w:rFonts w:ascii="Arial" w:hAnsi="Arial" w:hint="default"/>
        <w:b w:val="0"/>
        <w:i w:val="0"/>
        <w:sz w:val="20"/>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4FE370C"/>
    <w:multiLevelType w:val="multilevel"/>
    <w:tmpl w:val="2F58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AB2E51"/>
    <w:multiLevelType w:val="singleLevel"/>
    <w:tmpl w:val="E0B63792"/>
    <w:lvl w:ilvl="0">
      <w:start w:val="1"/>
      <w:numFmt w:val="bullet"/>
      <w:lvlText w:val=""/>
      <w:lvlJc w:val="left"/>
      <w:pPr>
        <w:tabs>
          <w:tab w:val="num" w:pos="360"/>
        </w:tabs>
        <w:ind w:left="360" w:hanging="360"/>
      </w:pPr>
      <w:rPr>
        <w:rFonts w:ascii="Symbol" w:hAnsi="Symbol" w:hint="default"/>
        <w:sz w:val="20"/>
      </w:rPr>
    </w:lvl>
  </w:abstractNum>
  <w:abstractNum w:abstractNumId="6" w15:restartNumberingAfterBreak="0">
    <w:nsid w:val="62F64097"/>
    <w:multiLevelType w:val="singleLevel"/>
    <w:tmpl w:val="97FE6D48"/>
    <w:lvl w:ilvl="0">
      <w:start w:val="1"/>
      <w:numFmt w:val="bullet"/>
      <w:lvlText w:val="-"/>
      <w:lvlJc w:val="left"/>
      <w:pPr>
        <w:tabs>
          <w:tab w:val="num" w:pos="360"/>
        </w:tabs>
        <w:ind w:left="360" w:hanging="360"/>
      </w:pPr>
      <w:rPr>
        <w:rFonts w:ascii="Times New Roman" w:hAnsi="Times New Roman" w:hint="default"/>
      </w:rPr>
    </w:lvl>
  </w:abstractNum>
  <w:num w:numId="1" w16cid:durableId="1223785311">
    <w:abstractNumId w:val="3"/>
  </w:num>
  <w:num w:numId="2" w16cid:durableId="1304500642">
    <w:abstractNumId w:val="5"/>
  </w:num>
  <w:num w:numId="3" w16cid:durableId="58406430">
    <w:abstractNumId w:val="0"/>
  </w:num>
  <w:num w:numId="4" w16cid:durableId="1306010520">
    <w:abstractNumId w:val="6"/>
  </w:num>
  <w:num w:numId="5" w16cid:durableId="2053382875">
    <w:abstractNumId w:val="1"/>
  </w:num>
  <w:num w:numId="6" w16cid:durableId="1552499173">
    <w:abstractNumId w:val="2"/>
  </w:num>
  <w:num w:numId="7" w16cid:durableId="671955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D92"/>
    <w:rsid w:val="0014104A"/>
    <w:rsid w:val="0017451C"/>
    <w:rsid w:val="00185A1F"/>
    <w:rsid w:val="0033440C"/>
    <w:rsid w:val="004E494B"/>
    <w:rsid w:val="004F6172"/>
    <w:rsid w:val="00522DF6"/>
    <w:rsid w:val="005232E7"/>
    <w:rsid w:val="00572979"/>
    <w:rsid w:val="00575C5F"/>
    <w:rsid w:val="00636D92"/>
    <w:rsid w:val="00690C72"/>
    <w:rsid w:val="006965CD"/>
    <w:rsid w:val="006B3993"/>
    <w:rsid w:val="00721C34"/>
    <w:rsid w:val="0078346A"/>
    <w:rsid w:val="007935E4"/>
    <w:rsid w:val="00822F6C"/>
    <w:rsid w:val="00846053"/>
    <w:rsid w:val="00901E2F"/>
    <w:rsid w:val="00983A02"/>
    <w:rsid w:val="00BB23C0"/>
    <w:rsid w:val="00BB41D3"/>
    <w:rsid w:val="00BD585B"/>
    <w:rsid w:val="00BF46DF"/>
    <w:rsid w:val="00C40BFC"/>
    <w:rsid w:val="00CB4EAD"/>
    <w:rsid w:val="00CC5F8A"/>
    <w:rsid w:val="00DA16DD"/>
    <w:rsid w:val="00DB5776"/>
    <w:rsid w:val="00E25452"/>
    <w:rsid w:val="00EB08D9"/>
    <w:rsid w:val="00EE6FFD"/>
    <w:rsid w:val="00F62573"/>
    <w:rsid w:val="00FB63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B67D"/>
  <w15:chartTrackingRefBased/>
  <w15:docId w15:val="{855F9086-56C1-4AA6-A1F6-6E51AD9B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92"/>
    <w:pPr>
      <w:spacing w:after="0" w:line="240" w:lineRule="auto"/>
    </w:pPr>
    <w:rPr>
      <w:rFonts w:ascii="Times New Roman" w:eastAsia="Times New Roman" w:hAnsi="Times New Roman" w:cs="Times New Roman"/>
      <w:kern w:val="0"/>
      <w:sz w:val="20"/>
      <w:szCs w:val="20"/>
      <w:lang w:val="es-ES" w:eastAsia="es-ES"/>
    </w:rPr>
  </w:style>
  <w:style w:type="paragraph" w:styleId="Ttulo3">
    <w:name w:val="heading 3"/>
    <w:basedOn w:val="Normal"/>
    <w:next w:val="Normal"/>
    <w:link w:val="Ttulo3Car"/>
    <w:qFormat/>
    <w:rsid w:val="00636D92"/>
    <w:pPr>
      <w:keepNext/>
      <w:outlineLvl w:val="2"/>
    </w:pPr>
    <w:rPr>
      <w:rFonts w:ascii="Arial" w:hAnsi="Arial"/>
      <w:b/>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636D92"/>
    <w:rPr>
      <w:rFonts w:ascii="Arial" w:eastAsia="Times New Roman" w:hAnsi="Arial" w:cs="Times New Roman"/>
      <w:b/>
      <w:kern w:val="0"/>
      <w:sz w:val="20"/>
      <w:szCs w:val="20"/>
      <w:u w:val="single"/>
      <w:lang w:val="es-ES_tradnl" w:eastAsia="es-ES"/>
    </w:rPr>
  </w:style>
  <w:style w:type="paragraph" w:styleId="Encabezado">
    <w:name w:val="header"/>
    <w:basedOn w:val="Normal"/>
    <w:link w:val="EncabezadoCar"/>
    <w:semiHidden/>
    <w:rsid w:val="00636D92"/>
    <w:pPr>
      <w:tabs>
        <w:tab w:val="center" w:pos="4419"/>
        <w:tab w:val="right" w:pos="8838"/>
      </w:tabs>
    </w:pPr>
  </w:style>
  <w:style w:type="character" w:customStyle="1" w:styleId="EncabezadoCar">
    <w:name w:val="Encabezado Car"/>
    <w:basedOn w:val="Fuentedeprrafopredeter"/>
    <w:link w:val="Encabezado"/>
    <w:semiHidden/>
    <w:rsid w:val="00636D92"/>
    <w:rPr>
      <w:rFonts w:ascii="Times New Roman" w:eastAsia="Times New Roman" w:hAnsi="Times New Roman" w:cs="Times New Roman"/>
      <w:kern w:val="0"/>
      <w:sz w:val="20"/>
      <w:szCs w:val="20"/>
      <w:lang w:val="es-ES" w:eastAsia="es-ES"/>
    </w:rPr>
  </w:style>
  <w:style w:type="character" w:styleId="Refdecomentario">
    <w:name w:val="annotation reference"/>
    <w:basedOn w:val="Fuentedeprrafopredeter"/>
    <w:uiPriority w:val="99"/>
    <w:semiHidden/>
    <w:unhideWhenUsed/>
    <w:rsid w:val="00636D92"/>
    <w:rPr>
      <w:sz w:val="16"/>
      <w:szCs w:val="16"/>
    </w:rPr>
  </w:style>
  <w:style w:type="paragraph" w:styleId="Textocomentario">
    <w:name w:val="annotation text"/>
    <w:basedOn w:val="Normal"/>
    <w:link w:val="TextocomentarioCar"/>
    <w:uiPriority w:val="99"/>
    <w:semiHidden/>
    <w:unhideWhenUsed/>
    <w:rsid w:val="00636D92"/>
  </w:style>
  <w:style w:type="character" w:customStyle="1" w:styleId="TextocomentarioCar">
    <w:name w:val="Texto comentario Car"/>
    <w:basedOn w:val="Fuentedeprrafopredeter"/>
    <w:link w:val="Textocomentario"/>
    <w:uiPriority w:val="99"/>
    <w:semiHidden/>
    <w:rsid w:val="00636D92"/>
    <w:rPr>
      <w:rFonts w:ascii="Times New Roman" w:eastAsia="Times New Roman" w:hAnsi="Times New Roman" w:cs="Times New Roman"/>
      <w:kern w:val="0"/>
      <w:sz w:val="20"/>
      <w:szCs w:val="20"/>
      <w:lang w:val="es-ES" w:eastAsia="es-ES"/>
    </w:rPr>
  </w:style>
  <w:style w:type="paragraph" w:customStyle="1" w:styleId="trt0xe">
    <w:name w:val="trt0xe"/>
    <w:basedOn w:val="Normal"/>
    <w:rsid w:val="00636D92"/>
    <w:pPr>
      <w:spacing w:before="100" w:beforeAutospacing="1" w:after="100" w:afterAutospacing="1"/>
    </w:pPr>
    <w:rPr>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Latencia" TargetMode="Externa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35D8-B714-4840-A476-AEA39E574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506</Words>
  <Characters>2786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LOPEZ</dc:creator>
  <cp:keywords/>
  <dc:description/>
  <cp:lastModifiedBy>MIGUEL LOPEZ</cp:lastModifiedBy>
  <cp:revision>2</cp:revision>
  <dcterms:created xsi:type="dcterms:W3CDTF">2024-06-28T21:35:00Z</dcterms:created>
  <dcterms:modified xsi:type="dcterms:W3CDTF">2024-06-29T00:16:00Z</dcterms:modified>
</cp:coreProperties>
</file>