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Пример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простого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Гузева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простой протокол передачи данных в CPN Tools.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простой протокол передачи данных в CPN Tools.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0"/>
    <w:bookmarkEnd w:id="21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Основные состояния: источник (Send), получатель (Receiver).</w:t>
      </w:r>
      <w:r>
        <w:t xml:space="preserve"> </w:t>
      </w:r>
      <w:r>
        <w:t xml:space="preserve">Действия (переходы): отправить пакет (Send Packet), отправить подтверждение (Send ACK).</w:t>
      </w:r>
      <w:r>
        <w:t xml:space="preserve"> </w:t>
      </w:r>
      <w:r>
        <w:t xml:space="preserve">Промежуточное состояние: следующий посылаемый пакет (NextSend).</w:t>
      </w:r>
      <w:r>
        <w:t xml:space="preserve"> </w:t>
      </w:r>
      <w:r>
        <w:t xml:space="preserve">Зададим декларации модели (рис. 1).</w:t>
      </w:r>
    </w:p>
    <w:p>
      <w:pPr>
        <w:pStyle w:val="CaptionedFigure"/>
      </w:pPr>
      <w:bookmarkStart w:id="25" w:name="fig:001"/>
      <w:r>
        <w:drawing>
          <wp:inline>
            <wp:extent cx="2820040" cy="1283233"/>
            <wp:effectExtent b="0" l="0" r="0" t="0"/>
            <wp:docPr descr="Рис. 1: Задание декла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40" cy="128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Задание деклараций</w:t>
      </w:r>
    </w:p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</w:t>
      </w:r>
      <w:r>
        <w:t xml:space="preserve">########</w:t>
      </w:r>
      <w:r>
        <w:t xml:space="preserve">”</w:t>
      </w:r>
      <w:r>
        <w:t xml:space="preserve">) определяет, что сообщение закончилось. 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 Поскольку пакеты представляют собой кортеж, состоящий из номера пакета и строки, то выражение у двусторонней дуги будет иметь значение (n,p). 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 (рис. 12.1). 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 2):</w:t>
      </w:r>
    </w:p>
    <w:p>
      <w:pPr>
        <w:pStyle w:val="CaptionedFigure"/>
      </w:pPr>
      <w:bookmarkStart w:id="29" w:name="fig:002"/>
      <w:r>
        <w:drawing>
          <wp:inline>
            <wp:extent cx="5334000" cy="3835029"/>
            <wp:effectExtent b="0" l="0" r="0" t="0"/>
            <wp:docPr descr="Рис. 2: Начальный граф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Начальный граф</w:t>
      </w:r>
    </w:p>
    <w:p>
      <w:pPr>
        <w:pStyle w:val="BodyText"/>
      </w:pPr>
      <w:r>
        <w:t xml:space="preserve">Зададим промежуточные состояния (A, B с типом INTxDATA, C, D с типом INTxDATA) для переходов (рис. 12.2): передать пакет Transmit Packet (передаём (n,p)), передать подтверждение Transmit ACK (передаём целое число k). Добавляем переход получения пакета (Receive Packet). 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 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только строку).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1`8, соединяем с соответствующими переходами(рис. 3):</w:t>
      </w:r>
    </w:p>
    <w:p>
      <w:pPr>
        <w:pStyle w:val="CaptionedFigure"/>
      </w:pPr>
      <w:bookmarkStart w:id="33" w:name="fig:003"/>
      <w:r>
        <w:drawing>
          <wp:inline>
            <wp:extent cx="5334000" cy="4452616"/>
            <wp:effectExtent b="0" l="0" r="0" t="0"/>
            <wp:docPr descr="Рис. 3: Добавление промежуточных состоян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2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Добавление промежуточных состояний</w:t>
      </w:r>
    </w:p>
    <w:p>
      <w:pPr>
        <w:pStyle w:val="BodyText"/>
      </w:pPr>
      <w:r>
        <w:t xml:space="preserve">В декларациях задаём(рис. 4):</w:t>
      </w:r>
    </w:p>
    <w:p>
      <w:pPr>
        <w:pStyle w:val="CaptionedFigure"/>
      </w:pPr>
      <w:bookmarkStart w:id="37" w:name="fig:004"/>
      <w:r>
        <w:drawing>
          <wp:inline>
            <wp:extent cx="2282157" cy="783771"/>
            <wp:effectExtent b="0" l="0" r="0" t="0"/>
            <wp:docPr descr="Рис. 4: Задание декларац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57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Задание деклараций</w:t>
      </w:r>
    </w:p>
    <w:p>
      <w:pPr>
        <w:pStyle w:val="BodyText"/>
      </w:pPr>
      <w:r>
        <w:t xml:space="preserve">Таким образом, получим модель простого протокола передачи данных (рис. 12.3).</w:t>
      </w:r>
      <w:r>
        <w:t xml:space="preserve"> </w:t>
      </w:r>
      <w:r>
        <w:t xml:space="preserve">Пакет последовательно проходит: состояние Send, переход Send Packet, состояние A, с некоторой вероятностью переход Transmit Packet, состояние B, попадает</w:t>
      </w:r>
      <w:r>
        <w:t xml:space="preserve"> </w:t>
      </w:r>
      <w:r>
        <w:t xml:space="preserve">на переход Receive Packet, где проверяется номер пакета и если нет совпадения,</w:t>
      </w:r>
      <w:r>
        <w:t xml:space="preserve"> </w:t>
      </w:r>
      <w:r>
        <w:t xml:space="preserve">то пакет направляется в состояние Received, а номер пакета передаётся последовательно в состояние C, с некоторой вероятностью в переход Transmit ACK,</w:t>
      </w:r>
      <w:r>
        <w:t xml:space="preserve"> </w:t>
      </w:r>
      <w:r>
        <w:t xml:space="preserve">далее в состояние D, переход Receive ACK, состояние NextSend (увеличивая на 1</w:t>
      </w:r>
      <w:r>
        <w:t xml:space="preserve"> </w:t>
      </w:r>
      <w:r>
        <w:t xml:space="preserve">номер следующего пакета), переход Send Packet. Так продолжается до тех пор,</w:t>
      </w:r>
      <w:r>
        <w:t xml:space="preserve"> </w:t>
      </w:r>
      <w:r>
        <w:t xml:space="preserve">пока не будут переданы все части сообщения. Последней будет передана стоп-последовательность(рис. 5):</w:t>
      </w:r>
    </w:p>
    <w:p>
      <w:pPr>
        <w:pStyle w:val="CaptionedFigure"/>
      </w:pPr>
      <w:bookmarkStart w:id="41" w:name="fig:005"/>
      <w:r>
        <w:drawing>
          <wp:inline>
            <wp:extent cx="5334000" cy="3465647"/>
            <wp:effectExtent b="0" l="0" r="0" t="0"/>
            <wp:docPr descr="Рис. 5: Модель простого протокола передачи данных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Модель простого протокола передачи данных</w:t>
      </w:r>
    </w:p>
    <w:p>
      <w:pPr>
        <w:pStyle w:val="CaptionedFigure"/>
      </w:pPr>
      <w:bookmarkStart w:id="45" w:name="fig:006"/>
      <w:r>
        <w:drawing>
          <wp:inline>
            <wp:extent cx="5334000" cy="3089007"/>
            <wp:effectExtent b="0" l="0" r="0" t="0"/>
            <wp:docPr descr="Рис. 6: Запуск модели простого протокола передачи данны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Запуск модели простого протокола передачи данных</w:t>
      </w:r>
    </w:p>
    <w:bookmarkStart w:id="50" w:name="упражне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него можно увидеть:</w:t>
      </w:r>
    </w:p>
    <w:p>
      <w:pPr>
        <w:numPr>
          <w:ilvl w:val="0"/>
          <w:numId w:val="1002"/>
        </w:numPr>
        <w:pStyle w:val="Compact"/>
      </w:pPr>
      <w:r>
        <w:t xml:space="preserve">13341 состояний и 206461 переходов между ними.</w:t>
      </w:r>
    </w:p>
    <w:p>
      <w:pPr>
        <w:numPr>
          <w:ilvl w:val="0"/>
          <w:numId w:val="1002"/>
        </w:numPr>
        <w:pStyle w:val="Compact"/>
      </w:pPr>
      <w:r>
        <w:t xml:space="preserve">Указаны границы значений для каждого элемента: промежуточные состояния A, B, C(наибольшая верхняя граница у A, так как после него пакеты отбрасываются. Так как мы установили максимум 10, то у следующего состояния B верхняя граница – 10),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</w:p>
    <w:p>
      <w:pPr>
        <w:numPr>
          <w:ilvl w:val="0"/>
          <w:numId w:val="1002"/>
        </w:numPr>
        <w:pStyle w:val="Compact"/>
      </w:pPr>
      <w:r>
        <w:t xml:space="preserve">Указаны границы в виде мультимножеств.</w:t>
      </w:r>
    </w:p>
    <w:p>
      <w:pPr>
        <w:numPr>
          <w:ilvl w:val="0"/>
          <w:numId w:val="1002"/>
        </w:numPr>
        <w:pStyle w:val="Compact"/>
      </w:pPr>
      <w:r>
        <w:t xml:space="preserve">Маркировка home для всех состояний (в любую позицию можно попасть из любой другой маркировки).</w:t>
      </w:r>
    </w:p>
    <w:p>
      <w:pPr>
        <w:numPr>
          <w:ilvl w:val="0"/>
          <w:numId w:val="1002"/>
        </w:numPr>
        <w:pStyle w:val="Compact"/>
      </w:pPr>
      <w:r>
        <w:t xml:space="preserve">Маркировка dead равная 4675 [9999,9998,9997,9996,9995,…] – это состояния, в которых нет включенных переходов.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/home/openmodelica/protocol.cpn</w:t>
      </w:r>
      <w:r>
        <w:br/>
      </w:r>
      <w:r>
        <w:rPr>
          <w:rStyle w:val="VerbatimChar"/>
        </w:rPr>
        <w:t xml:space="preserve">Report generated: Fri 28 Apr 21:38:31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13341</w:t>
      </w:r>
      <w:r>
        <w:br/>
      </w:r>
      <w:r>
        <w:rPr>
          <w:rStyle w:val="VerbatimChar"/>
        </w:rPr>
        <w:t xml:space="preserve">     Arcs:   206461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6975</w:t>
      </w:r>
      <w:r>
        <w:br/>
      </w:r>
      <w:r>
        <w:rPr>
          <w:rStyle w:val="VerbatimChar"/>
        </w:rPr>
        <w:t xml:space="preserve">     Arcs:   170859</w:t>
      </w:r>
      <w:r>
        <w:br/>
      </w:r>
      <w:r>
        <w:rPr>
          <w:rStyle w:val="VerbatimChar"/>
        </w:rPr>
        <w:t xml:space="preserve">     Secs:   14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Main'A 1                20         0</w:t>
      </w:r>
      <w:r>
        <w:br/>
      </w:r>
      <w:r>
        <w:rPr>
          <w:rStyle w:val="VerbatimChar"/>
        </w:rPr>
        <w:t xml:space="preserve">     Main'B 1                10         0</w:t>
      </w:r>
      <w:r>
        <w:br/>
      </w:r>
      <w:r>
        <w:rPr>
          <w:rStyle w:val="VerbatimChar"/>
        </w:rPr>
        <w:t xml:space="preserve">     Main'C 1                6          0</w:t>
      </w:r>
      <w:r>
        <w:br/>
      </w:r>
      <w:r>
        <w:rPr>
          <w:rStyle w:val="VerbatimChar"/>
        </w:rPr>
        <w:t xml:space="preserve">     Main'D 1                5          0</w:t>
      </w:r>
      <w:r>
        <w:br/>
      </w:r>
      <w:r>
        <w:rPr>
          <w:rStyle w:val="VerbatimChar"/>
        </w:rPr>
        <w:t xml:space="preserve">     Main'NextRec 1          1          1</w:t>
      </w:r>
      <w:r>
        <w:br/>
      </w:r>
      <w:r>
        <w:rPr>
          <w:rStyle w:val="VerbatimChar"/>
        </w:rPr>
        <w:t xml:space="preserve">     Main'NextSend 1         1          1</w:t>
      </w:r>
      <w:r>
        <w:br/>
      </w:r>
      <w:r>
        <w:rPr>
          <w:rStyle w:val="VerbatimChar"/>
        </w:rPr>
        <w:t xml:space="preserve">     Main'Reciever 1         1          1</w:t>
      </w:r>
      <w:r>
        <w:br/>
      </w:r>
      <w:r>
        <w:rPr>
          <w:rStyle w:val="VerbatimChar"/>
        </w:rPr>
        <w:t xml:space="preserve">     Main'SA 1               1          1</w:t>
      </w:r>
      <w:r>
        <w:br/>
      </w:r>
      <w:r>
        <w:rPr>
          <w:rStyle w:val="VerbatimChar"/>
        </w:rPr>
        <w:t xml:space="preserve">     Main'SP 1               1          1</w:t>
      </w:r>
      <w:r>
        <w:br/>
      </w:r>
      <w:r>
        <w:rPr>
          <w:rStyle w:val="VerbatimChar"/>
        </w:rPr>
        <w:t xml:space="preserve">     Main'Send 1  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Main'A 1            20`(1,"Modellin")++</w:t>
      </w:r>
      <w:r>
        <w:br/>
      </w:r>
      <w:r>
        <w:rPr>
          <w:rStyle w:val="VerbatimChar"/>
        </w:rPr>
        <w:t xml:space="preserve">15`(2,"g and An")++</w:t>
      </w:r>
      <w:r>
        <w:br/>
      </w:r>
      <w:r>
        <w:rPr>
          <w:rStyle w:val="VerbatimChar"/>
        </w:rPr>
        <w:t xml:space="preserve">9`(3,"alysis b")++</w:t>
      </w:r>
      <w:r>
        <w:br/>
      </w:r>
      <w:r>
        <w:rPr>
          <w:rStyle w:val="VerbatimChar"/>
        </w:rPr>
        <w:t xml:space="preserve">4`(4,"y Means ")</w:t>
      </w:r>
      <w:r>
        <w:br/>
      </w:r>
      <w:r>
        <w:rPr>
          <w:rStyle w:val="VerbatimChar"/>
        </w:rPr>
        <w:t xml:space="preserve">     Main'B 1            10`(1,"Modellin")++</w:t>
      </w:r>
      <w:r>
        <w:br/>
      </w:r>
      <w:r>
        <w:rPr>
          <w:rStyle w:val="VerbatimChar"/>
        </w:rPr>
        <w:t xml:space="preserve">7`(2,"g and An")++</w:t>
      </w:r>
      <w:r>
        <w:br/>
      </w:r>
      <w:r>
        <w:rPr>
          <w:rStyle w:val="VerbatimChar"/>
        </w:rPr>
        <w:t xml:space="preserve">4`(3,"alysis b")++</w:t>
      </w:r>
      <w:r>
        <w:br/>
      </w:r>
      <w:r>
        <w:rPr>
          <w:rStyle w:val="VerbatimChar"/>
        </w:rPr>
        <w:t xml:space="preserve">2`(4,"y Means ")</w:t>
      </w:r>
      <w:r>
        <w:br/>
      </w:r>
      <w:r>
        <w:rPr>
          <w:rStyle w:val="VerbatimChar"/>
        </w:rPr>
        <w:t xml:space="preserve">     Main'C 1            6`2++</w:t>
      </w:r>
      <w:r>
        <w:br/>
      </w:r>
      <w:r>
        <w:rPr>
          <w:rStyle w:val="VerbatimChar"/>
        </w:rPr>
        <w:t xml:space="preserve">5`3++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Main'D 1            5`2++</w:t>
      </w:r>
      <w:r>
        <w:br/>
      </w:r>
      <w:r>
        <w:rPr>
          <w:rStyle w:val="VerbatimChar"/>
        </w:rPr>
        <w:t xml:space="preserve">3`3++</w:t>
      </w:r>
      <w:r>
        <w:br/>
      </w:r>
      <w:r>
        <w:rPr>
          <w:rStyle w:val="VerbatimChar"/>
        </w:rPr>
        <w:t xml:space="preserve">2`4++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Main'NextRec 1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Main'NextSend 1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</w:t>
      </w:r>
      <w:r>
        <w:br/>
      </w:r>
      <w:r>
        <w:rPr>
          <w:rStyle w:val="VerbatimChar"/>
        </w:rPr>
        <w:t xml:space="preserve">     Main'Reciever 1    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Main'A 1            empty</w:t>
      </w:r>
      <w:r>
        <w:br/>
      </w:r>
      <w:r>
        <w:rPr>
          <w:rStyle w:val="VerbatimChar"/>
        </w:rPr>
        <w:t xml:space="preserve">     Main'B 1            empty</w:t>
      </w:r>
      <w:r>
        <w:br/>
      </w:r>
      <w:r>
        <w:rPr>
          <w:rStyle w:val="VerbatimChar"/>
        </w:rPr>
        <w:t xml:space="preserve">     Main'C 1            empty</w:t>
      </w:r>
      <w:r>
        <w:br/>
      </w:r>
      <w:r>
        <w:rPr>
          <w:rStyle w:val="VerbatimChar"/>
        </w:rPr>
        <w:t xml:space="preserve">     Main'D 1            empty</w:t>
      </w:r>
      <w:r>
        <w:br/>
      </w:r>
      <w:r>
        <w:rPr>
          <w:rStyle w:val="VerbatimChar"/>
        </w:rPr>
        <w:t xml:space="preserve">     Main'NextRec 1      empty</w:t>
      </w:r>
      <w:r>
        <w:br/>
      </w:r>
      <w:r>
        <w:rPr>
          <w:rStyle w:val="VerbatimChar"/>
        </w:rPr>
        <w:t xml:space="preserve">     Main'NextSend 1     empty</w:t>
      </w:r>
      <w:r>
        <w:br/>
      </w:r>
      <w:r>
        <w:rPr>
          <w:rStyle w:val="VerbatimChar"/>
        </w:rPr>
        <w:t xml:space="preserve">     Main'Reciever 1     empty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4675 [9999,9998,9997,9996,9995,...]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Main'Recieved_Packet 1 No Fairness</w:t>
      </w:r>
      <w:r>
        <w:br/>
      </w:r>
      <w:r>
        <w:rPr>
          <w:rStyle w:val="VerbatimChar"/>
        </w:rPr>
        <w:t xml:space="preserve">       Main'Send_ACK 1        No Fairness</w:t>
      </w:r>
      <w:r>
        <w:br/>
      </w:r>
      <w:r>
        <w:rPr>
          <w:rStyle w:val="VerbatimChar"/>
        </w:rPr>
        <w:t xml:space="preserve">       Main'Send_Packet 1     Impartial</w:t>
      </w:r>
      <w:r>
        <w:br/>
      </w:r>
      <w:r>
        <w:rPr>
          <w:rStyle w:val="VerbatimChar"/>
        </w:rPr>
        <w:t xml:space="preserve">       Main'Transmit_ACK 1    No Fairness</w:t>
      </w:r>
      <w:r>
        <w:br/>
      </w:r>
      <w:r>
        <w:rPr>
          <w:rStyle w:val="VerbatimChar"/>
        </w:rPr>
        <w:t xml:space="preserve">       Main'Transmit_Packet 1 Impartial</w:t>
      </w:r>
    </w:p>
    <w:p>
      <w:pPr>
        <w:pStyle w:val="FirstParagraph"/>
      </w:pPr>
      <w:r>
        <w:t xml:space="preserve">Сформируем начало графа пространства состояний, так как их много(рис. 7):</w:t>
      </w:r>
    </w:p>
    <w:p>
      <w:pPr>
        <w:pStyle w:val="CaptionedFigure"/>
      </w:pPr>
      <w:bookmarkStart w:id="49" w:name="fig:007"/>
      <w:r>
        <w:drawing>
          <wp:inline>
            <wp:extent cx="4318426" cy="2013216"/>
            <wp:effectExtent b="0" l="0" r="0" t="0"/>
            <wp:docPr descr="Рис. 7: Пространство состояний для модели простого протокола передачи данных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6" cy="201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Пространство состояний для модели простого протокола передачи данных</w:t>
      </w:r>
    </w:p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простой протокол передачи данных в CPN Tools и проведен анализ его пространства состояний.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Гузева Ирина Николаевна</dc:creator>
  <dc:language>ru-RU</dc:language>
  <cp:keywords/>
  <dcterms:created xsi:type="dcterms:W3CDTF">2025-04-14T20:08:29Z</dcterms:created>
  <dcterms:modified xsi:type="dcterms:W3CDTF">2025-04-14T20:08:29Z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Пример моделирования простого протокола передачи данных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