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i/>
          <w:sz w:val="20"/>
        </w:rPr>
        <w:t>Portfolio-Projekt · DLMDWWDE02 · Aufgabe 2</w:t>
      </w:r>
    </w:p>
    <w:p>
      <w:pPr>
        <w:pStyle w:val="Title"/>
        <w:spacing w:after="40"/>
        <w:jc w:val="center"/>
      </w:pPr>
      <w:r>
        <w:rPr>
          <w:rFonts w:ascii="Arial" w:hAnsi="Arial" w:eastAsia="Arial"/>
          <w:b/>
          <w:sz w:val="24"/>
        </w:rPr>
        <w:t>Portfolioteil 2 – Erläuterung der Umsetzung</w:t>
      </w:r>
    </w:p>
    <w:p>
      <w:pPr>
        <w:spacing w:after="160"/>
        <w:jc w:val="center"/>
      </w:pPr>
      <w:r>
        <w:rPr>
          <w:rFonts w:ascii="Arial" w:hAnsi="Arial" w:eastAsia="Arial"/>
          <w:i/>
          <w:sz w:val="20"/>
        </w:rPr>
        <w:t>Arbeitsfassung zur Übertragung in PebblePad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Ich habe die Anwendung mit Docker Compose in mehrere klar abgegrenzte Dienste aufgeteilt. Der Simulator erzeugt synthetische Raumluftdaten und veröffentlicht jedes Ereignis im Kafka-Topic sensor-readings.v1. Als Nachrichtenschlüssel verwende ich die Raum-ID. Dadurch bleiben die Daten eines Raumes innerhalb einer Partition geordnet, während mehrere Partitionen parallel verarbeitet werden können. Für die aktuelle Kafka-Version nutze ich den KRaft-Modus. Das im Skript noch beschriebene ZooKeeper-Setup ist deshalb nicht Bestandteil der Umsetzung.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Der Persister liest die Nachrichten als Consumer Group, prüft zuerst das JSON-Schema und danach das Pydantic-Modell. Gültige Ereignisse werden in PostgreSQL geschrieben. Eindeutige Ereignis-IDs sowie Topic, Partition und Offset verhindern doppelte Rohdatensätze. Die Verarbeitung arbeitet nach dem At-least-once-Prinzip: Ein Offset wird erst bestätigt, wenn der Datenbank-Commit erfolgreich war. Ungültige Nachrichten werden mit Fehlergrund in das Dead-Letter-Topic geschrieben. Zusätzlich speichert die Datenbank die Herkunft und einen Hash des abgelehnten Payloads, damit die Datenqualität auch über die API nachvollziehbar bleibt.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Die Aggregation erfolgt nicht direkt im Kafka-Stream, sondern als bewusst gewählte Near-Real-Time-Micro-Batch-Verarbeitung. Alle fünf Sekunden liest der Aggregator einen begrenzten Zeitraum aus PostgreSQL und berechnet Ein-Minuten-Tumbling-Windows sowie gleitende Fünf-Minuten-Fenster. Durch Watermark, Lookback und Upserts können verspätete Ereignisse berücksichtigt und Zeiträume wiederholt berechnet werden. Ein separates Backfill nutzt dieselbe Logik für historische Daten.</w:t>
      </w:r>
    </w:p>
    <w:p>
      <w:pPr>
        <w:spacing w:line="360" w:lineRule="auto" w:after="120"/>
        <w:jc w:val="both"/>
      </w:pPr>
      <w:r>
        <w:rPr>
          <w:rFonts w:ascii="Arial" w:hAnsi="Arial" w:eastAsia="Arial"/>
          <w:sz w:val="22"/>
        </w:rPr>
        <w:t>FastAPI stellt aktuelle Kennzahlen, Historien, Warnungen und Qualitätswerte bereit. Prometheus sammelt Durchsatz, Fehler, Laufzeiten und Consumer-Lag. Für den Datenbankzugriff gibt es getrennte Rollen für Persister, Aggregator und lesende API. Der lokale Aufbau verwendet trotzdem einen gemeinsamen PostgreSQL-Speicher. Das vereinfacht den Demonstrator, führt aber zu einer stärkeren Schemakopplung als bei einem strikten Database-per-Service-Ansatz. Unit-Tests, versionierte Konfiguration, strukturierte Logs und ein CI-Workflow unterstützen die Wartbarkeit.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8"/>
      </w:rPr>
      <w:t xml:space="preserve">Seite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