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1" w:type="dxa"/>
        <w:jc w:val="start"/>
        <w:tblInd w:w="-72" w:type="dxa"/>
        <w:tblLayout w:type="fixed"/>
        <w:tblCellMar>
          <w:top w:w="0" w:type="dxa"/>
          <w:start w:w="70" w:type="dxa"/>
          <w:bottom w:w="0" w:type="dxa"/>
          <w:end w:w="70" w:type="dxa"/>
        </w:tblCellMar>
        <w:tblLook w:noHBand="0" w:noVBand="1" w:firstColumn="1" w:lastRow="0" w:lastColumn="0" w:firstRow="1" w:val="04a0"/>
      </w:tblPr>
      <w:tblGrid>
        <w:gridCol w:w="2900"/>
        <w:gridCol w:w="1562"/>
        <w:gridCol w:w="237"/>
        <w:gridCol w:w="3350"/>
        <w:gridCol w:w="1582"/>
      </w:tblGrid>
      <w:tr>
        <w:trPr>
          <w:trHeight w:val="359"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E2EFD9" w:themeFill="accent6" w:themeFillTint="33" w:val="clear"/>
            <w:vAlign w:val="center"/>
          </w:tcPr>
          <w:p>
            <w:pPr>
              <w:pStyle w:val="Normal"/>
              <w:jc w:val="center"/>
              <w:rPr>
                <w:b/>
                <w:bCs/>
                <w:color w:val="000000"/>
                <w:sz w:val="20"/>
                <w:szCs w:val="20"/>
              </w:rPr>
            </w:pPr>
            <w:r>
              <w:rPr>
                <w:b/>
                <w:bCs/>
                <w:color w:val="000000"/>
                <w:sz w:val="20"/>
                <w:szCs w:val="20"/>
              </w:rPr>
              <w:t>IDENTIFICACIÓN DEL PROYECTO</w:t>
            </w:r>
          </w:p>
        </w:tc>
      </w:tr>
      <w:tr>
        <w:trPr>
          <w:trHeight w:val="359" w:hRule="atLeas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Nombre de la unidad:</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i w:val="false"/>
                <w:sz w:val="18"/>
              </w:rPr>
              <w:t>UDAE</w:t>
            </w:r>
          </w:p>
        </w:tc>
      </w:tr>
      <w:tr>
        <w:trPr>
          <w:trHeight w:val="218" w:hRule="atLeas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sz w:val="18"/>
              </w:rPr>
              <w:t>Fecha</w:t>
            </w:r>
            <w:r>
              <w:rPr>
                <w:spacing w:val="-2"/>
                <w:sz w:val="18"/>
              </w:rPr>
              <w:t xml:space="preserve"> </w:t>
            </w:r>
            <w:r>
              <w:rPr>
                <w:sz w:val="18"/>
              </w:rPr>
              <w:t>de</w:t>
            </w:r>
            <w:r>
              <w:rPr>
                <w:spacing w:val="-1"/>
                <w:sz w:val="18"/>
              </w:rPr>
              <w:t xml:space="preserve"> </w:t>
            </w:r>
            <w:r>
              <w:rPr>
                <w:sz w:val="18"/>
              </w:rPr>
              <w:t>solicitud:</w:t>
            </w:r>
            <w:r>
              <w:rPr>
                <w:i w:val="false"/>
                <w:sz w:val="18"/>
              </w:rPr>
              <w:t xml:space="preserve"> 14/10/2026</w:t>
            </w:r>
          </w:p>
        </w:tc>
        <w:tc>
          <w:tcPr>
            <w:tcW w:w="5169" w:type="dxa"/>
            <w:gridSpan w:val="3"/>
            <w:tcBorders>
              <w:top w:val="single" w:sz="4" w:space="0" w:color="000000"/>
              <w:start w:val="single" w:sz="4" w:space="0" w:color="000000"/>
              <w:bottom w:val="single" w:sz="4" w:space="0" w:color="000000"/>
              <w:end w:val="single" w:sz="4" w:space="0" w:color="000000"/>
            </w:tcBorders>
            <w:shd w:color="auto" w:fill="E2EFD9" w:themeFill="accent6" w:themeFillTint="33" w:val="clear"/>
          </w:tcPr>
          <w:p>
            <w:pPr>
              <w:pStyle w:val="Normal"/>
              <w:rPr>
                <w:b/>
                <w:bCs/>
                <w:color w:val="000000"/>
                <w:sz w:val="20"/>
                <w:szCs w:val="20"/>
              </w:rPr>
            </w:pPr>
            <w:r>
              <w:rPr>
                <w:sz w:val="18"/>
              </w:rPr>
              <w:t>Fecha</w:t>
            </w:r>
            <w:r>
              <w:rPr>
                <w:spacing w:val="-2"/>
                <w:sz w:val="18"/>
              </w:rPr>
              <w:t xml:space="preserve"> </w:t>
            </w:r>
            <w:r>
              <w:rPr>
                <w:sz w:val="18"/>
              </w:rPr>
              <w:t>de</w:t>
            </w:r>
            <w:r>
              <w:rPr>
                <w:spacing w:val="-2"/>
                <w:sz w:val="18"/>
              </w:rPr>
              <w:t xml:space="preserve"> </w:t>
            </w:r>
            <w:r>
              <w:rPr>
                <w:sz w:val="18"/>
              </w:rPr>
              <w:t>recepción:</w:t>
            </w:r>
            <w:r>
              <w:rPr>
                <w:spacing w:val="-11"/>
                <w:sz w:val="18"/>
              </w:rPr>
              <w:t xml:space="preserve"> </w:t>
            </w:r>
            <w:r>
              <w:rPr>
                <w:sz w:val="16"/>
              </w:rPr>
              <w:t>&lt;Espacio</w:t>
            </w:r>
            <w:r>
              <w:rPr>
                <w:spacing w:val="-2"/>
                <w:sz w:val="16"/>
              </w:rPr>
              <w:t xml:space="preserve"> </w:t>
            </w:r>
            <w:r>
              <w:rPr>
                <w:sz w:val="16"/>
              </w:rPr>
              <w:t>para</w:t>
            </w:r>
            <w:r>
              <w:rPr>
                <w:spacing w:val="-3"/>
                <w:sz w:val="16"/>
              </w:rPr>
              <w:t xml:space="preserve"> </w:t>
            </w:r>
            <w:r>
              <w:rPr>
                <w:sz w:val="16"/>
              </w:rPr>
              <w:t>ser</w:t>
            </w:r>
            <w:r>
              <w:rPr>
                <w:spacing w:val="-2"/>
                <w:sz w:val="16"/>
              </w:rPr>
              <w:t xml:space="preserve"> </w:t>
            </w:r>
            <w:r>
              <w:rPr>
                <w:sz w:val="16"/>
              </w:rPr>
              <w:t>diligenciado</w:t>
            </w:r>
            <w:r>
              <w:rPr>
                <w:spacing w:val="-2"/>
                <w:sz w:val="16"/>
              </w:rPr>
              <w:t xml:space="preserve"> </w:t>
            </w:r>
            <w:r>
              <w:rPr>
                <w:sz w:val="16"/>
              </w:rPr>
              <w:t>por</w:t>
            </w:r>
            <w:r>
              <w:rPr>
                <w:spacing w:val="-2"/>
                <w:sz w:val="16"/>
              </w:rPr>
              <w:t xml:space="preserve"> </w:t>
            </w:r>
            <w:r>
              <w:rPr>
                <w:sz w:val="16"/>
              </w:rPr>
              <w:t>la</w:t>
            </w:r>
            <w:r>
              <w:rPr>
                <w:spacing w:val="-42"/>
                <w:sz w:val="16"/>
              </w:rPr>
              <w:t xml:space="preserve"> </w:t>
            </w:r>
            <w:r>
              <w:rPr>
                <w:sz w:val="16"/>
              </w:rPr>
              <w:t>Oficina de</w:t>
            </w:r>
            <w:r>
              <w:rPr>
                <w:spacing w:val="-1"/>
                <w:sz w:val="16"/>
              </w:rPr>
              <w:t xml:space="preserve"> </w:t>
            </w:r>
            <w:r>
              <w:rPr>
                <w:sz w:val="16"/>
              </w:rPr>
              <w:t>TI cuando el requerimiento ya este implementado&gt;</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Nombre del proyecto:</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i w:val="false"/>
                <w:sz w:val="18"/>
              </w:rPr>
              <w:t>RUNPD - Registro Único Nacional de Procesos de Descongestión (PEYGI)</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Requerimiento o aplicación:</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i w:val="false"/>
                <w:sz w:val="18"/>
              </w:rPr>
              <w:t>Recepción y seguimiento de procesos en el despacho de descongestión</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sz w:val="18"/>
              </w:rPr>
              <w:t xml:space="preserve">Líder Funcional: </w:t>
            </w:r>
            <w:r>
              <w:rPr>
                <w:i/>
                <w:color w:val="ADAAAA"/>
                <w:sz w:val="18"/>
              </w:rPr>
              <w:t>responsable del consorcio frente al Sistema / aplicativo</w:t>
            </w:r>
          </w:p>
        </w:tc>
        <w:tc>
          <w:tcPr>
            <w:tcW w:w="516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sz w:val="18"/>
              </w:rPr>
              <w:t>Clara Milena Higuera Guio (cmhiguera@cendoj.ramajudicial.gov.co)</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Equipo designado por líder funcional:</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Camilo Alejandro Romero Laiton (cromerol@cendoj.ramajudicial.gov.co), Luis Carlos Mendivil Blanquicet (lmendivb@cendoj.ramajudicial.gov.co) y José Fernando Castro Roa (jcastroroa@cendoj.ramajudicial.gov.co)</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Gerente Interno del Proyecto:</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Clara Milena Higuera Guio (cmhiguera@cendoj.ramajudicial.gov.co)</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Líder del equipo de desarrollo:</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Jaime Alberto Silva Rodriguez (jsilvar@cendoj.ramajudicial.gov.co) y William Alexander Barbosa Fuentes (wbarbosf@cendoj.ramajudicial.gov.co)</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Requerimiento asociado:</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Por definir</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Prioridad:</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Alta</w:t>
            </w:r>
          </w:p>
        </w:tc>
      </w:tr>
      <w:tr>
        <w:trPr>
          <w:trHeight w:val="375" w:hRule="atLeast"/>
          <w:cantSplit/>
        </w:trPr>
        <w:tc>
          <w:tcPr>
            <w:tcW w:w="4462" w:type="dxa"/>
            <w:gridSpan w:val="2"/>
            <w:tcBorders>
              <w:top w:val="single" w:sz="4" w:space="0" w:color="000000"/>
              <w:start w:val="single" w:sz="4" w:space="0" w:color="000000"/>
              <w:bottom w:val="single" w:sz="4" w:space="0" w:color="000000"/>
              <w:end w:val="single" w:sz="4" w:space="0" w:color="000000"/>
            </w:tcBorders>
          </w:tcPr>
          <w:p>
            <w:pPr>
              <w:pStyle w:val="Normal"/>
              <w:rPr>
                <w:sz w:val="18"/>
              </w:rPr>
            </w:pPr>
            <w:r>
              <w:rPr>
                <w:sz w:val="18"/>
              </w:rPr>
              <w:t>Módulo/Hito:</w:t>
            </w:r>
          </w:p>
        </w:tc>
        <w:tc>
          <w:tcPr>
            <w:tcW w:w="5169" w:type="dxa"/>
            <w:gridSpan w:val="3"/>
            <w:tcBorders>
              <w:top w:val="single" w:sz="4" w:space="0" w:color="000000"/>
              <w:start w:val="single" w:sz="4" w:space="0" w:color="000000"/>
              <w:bottom w:val="single" w:sz="4" w:space="0" w:color="000000"/>
              <w:end w:val="single" w:sz="4" w:space="0" w:color="000000"/>
            </w:tcBorders>
          </w:tcPr>
          <w:p>
            <w:pPr>
              <w:pStyle w:val="Normal"/>
              <w:rPr>
                <w:sz w:val="18"/>
              </w:rPr>
            </w:pPr>
            <w:r>
              <w:rPr>
                <w:i w:val="false"/>
                <w:sz w:val="18"/>
              </w:rPr>
              <w:t>Registro Único Nacional de Procesos de Descongestión</w:t>
            </w:r>
          </w:p>
        </w:tc>
      </w:tr>
      <w:tr>
        <w:trPr>
          <w:trHeight w:val="387"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E2EFD9" w:themeFill="accent6" w:themeFillTint="33" w:val="clear"/>
            <w:vAlign w:val="center"/>
          </w:tcPr>
          <w:p>
            <w:pPr>
              <w:pStyle w:val="Normal"/>
              <w:jc w:val="center"/>
              <w:rPr>
                <w:b/>
                <w:bCs/>
                <w:color w:val="000000"/>
                <w:sz w:val="20"/>
                <w:szCs w:val="20"/>
              </w:rPr>
            </w:pPr>
            <w:r>
              <w:rPr>
                <w:b/>
                <w:bCs/>
                <w:sz w:val="18"/>
              </w:rPr>
              <w:t>Descripción de la solicitud</w:t>
            </w:r>
          </w:p>
        </w:tc>
      </w:tr>
      <w:tr>
        <w:trPr>
          <w:trHeight w:val="282" w:hRule="atLeast"/>
        </w:trPr>
        <w:tc>
          <w:tcPr>
            <w:tcW w:w="9631" w:type="dxa"/>
            <w:gridSpan w:val="5"/>
            <w:tcBorders>
              <w:top w:val="single" w:sz="4" w:space="0" w:color="000000"/>
              <w:start w:val="single" w:sz="4" w:space="0" w:color="000000"/>
              <w:bottom w:val="single" w:sz="4" w:space="0" w:color="000000"/>
              <w:end w:val="single" w:sz="4" w:space="0" w:color="000000"/>
            </w:tcBorders>
            <w:tcMar>
              <w:top w:w="40" w:type="dxa"/>
              <w:start w:w="108" w:type="dxa"/>
              <w:bottom w:w="40" w:type="dxa"/>
              <w:end w:w="108" w:type="dxa"/>
            </w:tcMar>
            <w:vAlign w:val="center"/>
          </w:tcPr>
          <w:p>
            <w:pPr>
              <w:pStyle w:val="Normal"/>
              <w:rPr>
                <w:b/>
                <w:bCs/>
                <w:color w:themeColor="text1" w:val="000000"/>
                <w:sz w:val="20"/>
                <w:szCs w:val="20"/>
              </w:rPr>
            </w:pPr>
            <w:r>
              <w:rPr>
                <w:b/>
                <w:bCs/>
                <w:color w:themeColor="text1" w:val="000000"/>
                <w:sz w:val="20"/>
                <w:szCs w:val="20"/>
              </w:rPr>
              <w:t xml:space="preserve">DESCRIPCIÓN DE LA NECESIDAD: </w:t>
            </w:r>
          </w:p>
          <w:p>
            <w:pPr>
              <w:pStyle w:val="Normal"/>
              <w:rPr>
                <w:b/>
                <w:bCs/>
                <w:color w:themeColor="text1" w:val="000000"/>
                <w:sz w:val="20"/>
                <w:szCs w:val="20"/>
              </w:rPr>
            </w:pPr>
            <w:r>
              <w:rPr>
                <w:b/>
                <w:bCs/>
                <w:color w:themeColor="text1" w:val="000000"/>
                <w:sz w:val="20"/>
                <w:szCs w:val="20"/>
              </w:rPr>
            </w:r>
          </w:p>
          <w:p>
            <w:pPr>
              <w:pStyle w:val="TableParagraph"/>
              <w:spacing w:lineRule="auto" w:line="276" w:before="0" w:after="80"/>
              <w:ind w:start="0"/>
              <w:jc w:val="both"/>
              <w:rPr>
                <w:rFonts w:ascii="Arial" w:hAnsi="Arial" w:cs="Arial"/>
                <w:i/>
                <w:color w:val="ADAAAA"/>
                <w:sz w:val="18"/>
              </w:rPr>
            </w:pPr>
            <w:r>
              <w:rPr>
                <w:i w:val="false"/>
                <w:sz w:val="18"/>
              </w:rPr>
              <w:t>Desarrollo sobre el módulo Registro Único Nacional de Procesos de Descongestión. El despacho de descongestión (despacho destino de la medida) requiere una pantalla para recibir los procesos que le envían los despachos origen dentro de una medida de descongestión y gestionarlos durante la vigencia de la medida: registrar cada actuación con su próxima actuación estimada, finalizarlos o devolverlos al despacho origen.</w:t>
            </w:r>
          </w:p>
          <w:p>
            <w:pPr>
              <w:pStyle w:val="TableParagraph"/>
              <w:spacing w:lineRule="auto" w:line="276" w:before="0" w:after="80"/>
              <w:ind w:start="0"/>
              <w:jc w:val="both"/>
              <w:rPr>
                <w:rFonts w:ascii="Arial" w:hAnsi="Arial" w:cs="Arial"/>
                <w:i/>
                <w:color w:val="ADAAAA"/>
                <w:sz w:val="18"/>
              </w:rPr>
            </w:pPr>
            <w:r>
              <w:rPr>
                <w:i w:val="false"/>
                <w:sz w:val="18"/>
              </w:rPr>
              <w:t xml:space="preserve">El </w:t>
            </w:r>
            <w:r>
              <w:rPr>
                <w:b/>
                <w:i w:val="false"/>
                <w:sz w:val="18"/>
              </w:rPr>
              <w:t>Administrador del Despacho de Descongestión</w:t>
            </w:r>
            <w:r>
              <w:rPr>
                <w:i w:val="false"/>
                <w:sz w:val="18"/>
              </w:rPr>
              <w:t xml:space="preserve"> es el Administrador del Despacho y el único autorizado en la medida para gestionar los procesos recibidos; las notificaciones de finalización y devolución se dirigen únicamente al administrador del despacho origen correspondiente.</w:t>
            </w:r>
          </w:p>
          <w:p>
            <w:pPr>
              <w:pStyle w:val="Normal"/>
              <w:rPr>
                <w:b/>
                <w:bCs/>
                <w:color w:themeColor="text1" w:val="000000"/>
                <w:sz w:val="20"/>
                <w:szCs w:val="20"/>
              </w:rPr>
            </w:pPr>
            <w:r>
              <w:rPr>
                <w:b/>
                <w:bCs/>
                <w:color w:themeColor="text1" w:val="000000"/>
                <w:sz w:val="20"/>
                <w:szCs w:val="20"/>
              </w:rPr>
            </w:r>
          </w:p>
        </w:tc>
      </w:tr>
      <w:tr>
        <w:trPr>
          <w:trHeight w:val="282" w:hRule="atLeast"/>
        </w:trPr>
        <w:tc>
          <w:tcPr>
            <w:tcW w:w="9631" w:type="dxa"/>
            <w:gridSpan w:val="5"/>
            <w:tcBorders>
              <w:top w:val="single" w:sz="4" w:space="0" w:color="000000"/>
              <w:start w:val="single" w:sz="4" w:space="0" w:color="000000"/>
              <w:bottom w:val="single" w:sz="4" w:space="0" w:color="000000"/>
              <w:end w:val="single" w:sz="4" w:space="0" w:color="000000"/>
            </w:tcBorders>
            <w:tcMar>
              <w:top w:w="40" w:type="dxa"/>
              <w:start w:w="108" w:type="dxa"/>
              <w:bottom w:w="40" w:type="dxa"/>
              <w:end w:w="108" w:type="dxa"/>
            </w:tcMar>
            <w:vAlign w:val="center"/>
          </w:tcPr>
          <w:p>
            <w:pPr>
              <w:pStyle w:val="TableParagraph"/>
              <w:spacing w:before="1" w:after="0"/>
              <w:ind w:start="0"/>
              <w:rPr>
                <w:rFonts w:ascii="Arial" w:hAnsi="Arial" w:cs="Arial"/>
                <w:b/>
                <w:bCs/>
                <w:sz w:val="18"/>
              </w:rPr>
            </w:pPr>
            <w:r>
              <w:rPr>
                <w:rFonts w:cs="Arial" w:ascii="Arial" w:hAnsi="Arial"/>
                <w:b/>
                <w:bCs/>
                <w:sz w:val="18"/>
              </w:rPr>
              <w:t>Objetivo</w:t>
            </w:r>
            <w:r>
              <w:rPr>
                <w:rFonts w:cs="Arial" w:ascii="Arial" w:hAnsi="Arial"/>
                <w:b/>
                <w:bCs/>
                <w:spacing w:val="-2"/>
                <w:sz w:val="18"/>
              </w:rPr>
              <w:t xml:space="preserve"> </w:t>
            </w:r>
            <w:r>
              <w:rPr>
                <w:rFonts w:cs="Arial" w:ascii="Arial" w:hAnsi="Arial"/>
                <w:b/>
                <w:bCs/>
                <w:sz w:val="18"/>
              </w:rPr>
              <w:t>de</w:t>
            </w:r>
            <w:r>
              <w:rPr>
                <w:rFonts w:cs="Arial" w:ascii="Arial" w:hAnsi="Arial"/>
                <w:b/>
                <w:bCs/>
                <w:spacing w:val="-1"/>
                <w:sz w:val="18"/>
              </w:rPr>
              <w:t xml:space="preserve"> </w:t>
            </w:r>
            <w:r>
              <w:rPr>
                <w:rFonts w:cs="Arial" w:ascii="Arial" w:hAnsi="Arial"/>
                <w:b/>
                <w:bCs/>
                <w:sz w:val="18"/>
              </w:rPr>
              <w:t>la</w:t>
            </w:r>
            <w:r>
              <w:rPr>
                <w:rFonts w:cs="Arial" w:ascii="Arial" w:hAnsi="Arial"/>
                <w:b/>
                <w:bCs/>
                <w:spacing w:val="-1"/>
                <w:sz w:val="18"/>
              </w:rPr>
              <w:t xml:space="preserve"> </w:t>
            </w:r>
            <w:r>
              <w:rPr>
                <w:rFonts w:cs="Arial" w:ascii="Arial" w:hAnsi="Arial"/>
                <w:b/>
                <w:bCs/>
                <w:sz w:val="18"/>
              </w:rPr>
              <w:t>nueva</w:t>
            </w:r>
            <w:r>
              <w:rPr>
                <w:rFonts w:cs="Arial" w:ascii="Arial" w:hAnsi="Arial"/>
                <w:b/>
                <w:bCs/>
                <w:spacing w:val="-2"/>
                <w:sz w:val="18"/>
              </w:rPr>
              <w:t xml:space="preserve"> </w:t>
            </w:r>
            <w:r>
              <w:rPr>
                <w:rFonts w:cs="Arial" w:ascii="Arial" w:hAnsi="Arial"/>
                <w:b/>
                <w:bCs/>
                <w:sz w:val="18"/>
              </w:rPr>
              <w:t>solución</w:t>
            </w:r>
            <w:r>
              <w:rPr>
                <w:rFonts w:cs="Arial" w:ascii="Arial" w:hAnsi="Arial"/>
                <w:b/>
                <w:bCs/>
                <w:spacing w:val="-3"/>
                <w:sz w:val="18"/>
              </w:rPr>
              <w:t xml:space="preserve"> </w:t>
            </w:r>
            <w:r>
              <w:rPr>
                <w:rFonts w:cs="Arial" w:ascii="Arial" w:hAnsi="Arial"/>
                <w:b/>
                <w:bCs/>
                <w:sz w:val="18"/>
              </w:rPr>
              <w:t>o</w:t>
            </w:r>
            <w:r>
              <w:rPr>
                <w:rFonts w:cs="Arial" w:ascii="Arial" w:hAnsi="Arial"/>
                <w:b/>
                <w:bCs/>
                <w:spacing w:val="-1"/>
                <w:sz w:val="18"/>
              </w:rPr>
              <w:t xml:space="preserve"> ajuste a</w:t>
            </w:r>
            <w:r>
              <w:rPr>
                <w:rFonts w:cs="Arial" w:ascii="Arial" w:hAnsi="Arial"/>
                <w:b/>
                <w:bCs/>
                <w:sz w:val="18"/>
              </w:rPr>
              <w:t xml:space="preserve"> implementar:</w:t>
            </w:r>
          </w:p>
          <w:p>
            <w:pPr>
              <w:pStyle w:val="TableParagraph"/>
              <w:spacing w:before="1" w:after="0"/>
              <w:ind w:start="0"/>
              <w:rPr>
                <w:rFonts w:ascii="Arial" w:hAnsi="Arial" w:cs="Arial"/>
                <w:b/>
                <w:bCs/>
                <w:sz w:val="18"/>
              </w:rPr>
            </w:pPr>
            <w:r>
              <w:rPr>
                <w:rFonts w:cs="Arial" w:ascii="Arial" w:hAnsi="Arial"/>
                <w:b/>
                <w:bCs/>
                <w:sz w:val="18"/>
              </w:rPr>
            </w:r>
          </w:p>
          <w:p>
            <w:pPr>
              <w:pStyle w:val="TableParagraph"/>
              <w:spacing w:lineRule="auto" w:line="276" w:before="0" w:after="80"/>
              <w:ind w:start="0"/>
              <w:jc w:val="both"/>
              <w:rPr>
                <w:rFonts w:ascii="Arial" w:hAnsi="Arial" w:cs="Arial"/>
                <w:i/>
                <w:color w:val="ADAAAA"/>
                <w:sz w:val="18"/>
              </w:rPr>
            </w:pPr>
            <w:r>
              <w:rPr>
                <w:b/>
                <w:i w:val="false"/>
                <w:sz w:val="18"/>
              </w:rPr>
              <w:t>Postcondición:</w:t>
            </w:r>
            <w:r>
              <w:rPr>
                <w:i w:val="false"/>
                <w:sz w:val="18"/>
              </w:rPr>
              <w:t xml:space="preserve"> los procesos enviados por los despachos origen quedan recibidos en el despacho de descongestión, con sus actuaciones registradas y la próxima actuación bajo control, hasta finalizarlos o devolverlos al despacho origen dentro de la vigencia de la medida.</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Propósito: centralizar la recepción y el seguimiento de los procesos de la medida en el despacho destino, con trazabilidad completa de cada gestión.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Beneficios: evita el vencimiento de las próximas actuaciones (avisos y semáforo por proceso), mantiene informado al despacho origen (notificaciones de finalización y devolución) y da visibilidad del avance de la vigencia de la medida.</w:t>
            </w:r>
          </w:p>
          <w:p>
            <w:pPr>
              <w:pStyle w:val="TableParagraph"/>
              <w:spacing w:before="1" w:after="0"/>
              <w:ind w:start="0"/>
              <w:rPr>
                <w:rFonts w:ascii="Arial" w:hAnsi="Arial" w:cs="Arial"/>
                <w:b/>
                <w:bCs/>
                <w:sz w:val="18"/>
              </w:rPr>
            </w:pPr>
            <w:r>
              <w:rPr>
                <w:rFonts w:cs="Arial" w:ascii="Arial" w:hAnsi="Arial"/>
                <w:b/>
                <w:bCs/>
                <w:sz w:val="18"/>
              </w:rPr>
            </w:r>
          </w:p>
        </w:tc>
      </w:tr>
      <w:tr>
        <w:trPr>
          <w:trHeight w:val="326" w:hRule="atLeast"/>
        </w:trPr>
        <w:tc>
          <w:tcPr>
            <w:tcW w:w="9631" w:type="dxa"/>
            <w:gridSpan w:val="5"/>
            <w:tcBorders>
              <w:top w:val="single" w:sz="4" w:space="0" w:color="000000"/>
              <w:start w:val="single" w:sz="4" w:space="0" w:color="000000"/>
              <w:bottom w:val="single" w:sz="4" w:space="0" w:color="000000"/>
              <w:end w:val="single" w:sz="4" w:space="0" w:color="000000"/>
            </w:tcBorders>
            <w:tcMar>
              <w:top w:w="40" w:type="dxa"/>
              <w:start w:w="108" w:type="dxa"/>
              <w:bottom w:w="40" w:type="dxa"/>
              <w:end w:w="108" w:type="dxa"/>
            </w:tcMar>
            <w:vAlign w:val="center"/>
          </w:tcPr>
          <w:p>
            <w:pPr>
              <w:pStyle w:val="TableParagraph"/>
              <w:spacing w:before="1" w:after="0"/>
              <w:ind w:start="0"/>
              <w:rPr>
                <w:rFonts w:ascii="Arial" w:hAnsi="Arial" w:cs="Arial"/>
                <w:b/>
                <w:bCs/>
                <w:sz w:val="18"/>
              </w:rPr>
            </w:pPr>
            <w:r>
              <w:rPr>
                <w:rFonts w:cs="Arial" w:ascii="Arial" w:hAnsi="Arial"/>
                <w:b/>
                <w:bCs/>
                <w:sz w:val="18"/>
              </w:rPr>
              <w:t>Justificación de</w:t>
            </w:r>
            <w:r>
              <w:rPr>
                <w:rFonts w:cs="Arial" w:ascii="Arial" w:hAnsi="Arial"/>
                <w:b/>
                <w:bCs/>
                <w:spacing w:val="-1"/>
                <w:sz w:val="18"/>
              </w:rPr>
              <w:t xml:space="preserve"> </w:t>
            </w:r>
            <w:r>
              <w:rPr>
                <w:rFonts w:cs="Arial" w:ascii="Arial" w:hAnsi="Arial"/>
                <w:b/>
                <w:bCs/>
                <w:sz w:val="18"/>
              </w:rPr>
              <w:t>la</w:t>
            </w:r>
            <w:r>
              <w:rPr>
                <w:rFonts w:cs="Arial" w:ascii="Arial" w:hAnsi="Arial"/>
                <w:b/>
                <w:bCs/>
                <w:spacing w:val="-2"/>
                <w:sz w:val="18"/>
              </w:rPr>
              <w:t xml:space="preserve"> </w:t>
            </w:r>
            <w:r>
              <w:rPr>
                <w:rFonts w:cs="Arial" w:ascii="Arial" w:hAnsi="Arial"/>
                <w:b/>
                <w:bCs/>
                <w:sz w:val="18"/>
              </w:rPr>
              <w:t>nueva</w:t>
            </w:r>
            <w:r>
              <w:rPr>
                <w:rFonts w:cs="Arial" w:ascii="Arial" w:hAnsi="Arial"/>
                <w:b/>
                <w:bCs/>
                <w:spacing w:val="-2"/>
                <w:sz w:val="18"/>
              </w:rPr>
              <w:t xml:space="preserve"> </w:t>
            </w:r>
            <w:r>
              <w:rPr>
                <w:rFonts w:cs="Arial" w:ascii="Arial" w:hAnsi="Arial"/>
                <w:b/>
                <w:bCs/>
                <w:sz w:val="18"/>
              </w:rPr>
              <w:t>solución</w:t>
            </w:r>
            <w:r>
              <w:rPr>
                <w:rFonts w:cs="Arial" w:ascii="Arial" w:hAnsi="Arial"/>
                <w:b/>
                <w:bCs/>
                <w:spacing w:val="-3"/>
                <w:sz w:val="18"/>
              </w:rPr>
              <w:t xml:space="preserve"> </w:t>
            </w:r>
            <w:r>
              <w:rPr>
                <w:rFonts w:cs="Arial" w:ascii="Arial" w:hAnsi="Arial"/>
                <w:b/>
                <w:bCs/>
                <w:sz w:val="18"/>
              </w:rPr>
              <w:t>o</w:t>
            </w:r>
            <w:r>
              <w:rPr>
                <w:rFonts w:cs="Arial" w:ascii="Arial" w:hAnsi="Arial"/>
                <w:b/>
                <w:bCs/>
                <w:spacing w:val="-1"/>
                <w:sz w:val="18"/>
              </w:rPr>
              <w:t xml:space="preserve"> </w:t>
            </w:r>
            <w:r>
              <w:rPr>
                <w:rFonts w:cs="Arial" w:ascii="Arial" w:hAnsi="Arial"/>
                <w:b/>
                <w:bCs/>
                <w:sz w:val="18"/>
              </w:rPr>
              <w:t>mantenimiento</w:t>
            </w:r>
            <w:r>
              <w:rPr>
                <w:rFonts w:cs="Arial" w:ascii="Arial" w:hAnsi="Arial"/>
                <w:b/>
                <w:bCs/>
                <w:spacing w:val="-1"/>
                <w:sz w:val="18"/>
              </w:rPr>
              <w:t xml:space="preserve"> </w:t>
            </w:r>
            <w:r>
              <w:rPr>
                <w:rFonts w:cs="Arial" w:ascii="Arial" w:hAnsi="Arial"/>
                <w:b/>
                <w:bCs/>
                <w:sz w:val="18"/>
              </w:rPr>
              <w:t>a</w:t>
            </w:r>
            <w:r>
              <w:rPr>
                <w:rFonts w:cs="Arial" w:ascii="Arial" w:hAnsi="Arial"/>
                <w:b/>
                <w:bCs/>
                <w:spacing w:val="-1"/>
                <w:sz w:val="18"/>
              </w:rPr>
              <w:t xml:space="preserve"> </w:t>
            </w:r>
            <w:r>
              <w:rPr>
                <w:rFonts w:cs="Arial" w:ascii="Arial" w:hAnsi="Arial"/>
                <w:b/>
                <w:bCs/>
                <w:sz w:val="18"/>
              </w:rPr>
              <w:t>desarrollar:</w:t>
            </w:r>
          </w:p>
          <w:p>
            <w:pPr>
              <w:pStyle w:val="TableParagraph"/>
              <w:spacing w:before="1" w:after="0"/>
              <w:ind w:start="0"/>
              <w:rPr>
                <w:rFonts w:ascii="Arial" w:hAnsi="Arial" w:cs="Arial"/>
                <w:b/>
                <w:bCs/>
                <w:sz w:val="18"/>
              </w:rPr>
            </w:pPr>
            <w:r>
              <w:rPr>
                <w:rFonts w:cs="Arial" w:ascii="Arial" w:hAnsi="Arial"/>
                <w:b/>
                <w:bCs/>
                <w:sz w:val="18"/>
              </w:rPr>
            </w:r>
          </w:p>
          <w:p>
            <w:pPr>
              <w:pStyle w:val="TableParagraph"/>
              <w:spacing w:lineRule="auto" w:line="276" w:before="0" w:after="80"/>
              <w:ind w:start="0"/>
              <w:jc w:val="both"/>
              <w:rPr>
                <w:rFonts w:ascii="Arial" w:hAnsi="Arial" w:cs="Arial"/>
                <w:i/>
                <w:color w:val="ADAAAA"/>
                <w:sz w:val="18"/>
              </w:rPr>
            </w:pPr>
            <w:r>
              <w:rPr>
                <w:i w:val="false"/>
                <w:sz w:val="18"/>
              </w:rPr>
              <w:t>Actualmente el despacho de descongestión no cuenta con una herramienta que consolide, por medida, los procesos recibidos de los despachos origen, el control de la próxima actuación de cada proceso y la notificación al despacho origen cuando un proceso se finaliza o se devuelve. La funcionalidad hace parte del módulo Registro Único Nacional de Procesos de Descongestión (RUNPD).</w:t>
            </w:r>
          </w:p>
          <w:p>
            <w:pPr>
              <w:pStyle w:val="TableParagraph"/>
              <w:spacing w:before="1" w:after="0"/>
              <w:ind w:start="0"/>
              <w:rPr>
                <w:rFonts w:ascii="Arial" w:hAnsi="Arial" w:cs="Arial"/>
                <w:b/>
                <w:bCs/>
                <w:sz w:val="18"/>
              </w:rPr>
            </w:pPr>
            <w:r>
              <w:rPr>
                <w:rFonts w:cs="Arial" w:ascii="Arial" w:hAnsi="Arial"/>
                <w:b/>
                <w:bCs/>
                <w:sz w:val="18"/>
              </w:rPr>
            </w:r>
          </w:p>
        </w:tc>
      </w:tr>
      <w:tr>
        <w:trPr>
          <w:trHeight w:val="326" w:hRule="atLeast"/>
        </w:trPr>
        <w:tc>
          <w:tcPr>
            <w:tcW w:w="9631" w:type="dxa"/>
            <w:gridSpan w:val="5"/>
            <w:tcBorders>
              <w:top w:val="single" w:sz="4" w:space="0" w:color="000000"/>
              <w:start w:val="single" w:sz="4" w:space="0" w:color="000000"/>
              <w:bottom w:val="single" w:sz="4" w:space="0" w:color="000000"/>
              <w:end w:val="single" w:sz="4" w:space="0" w:color="000000"/>
            </w:tcBorders>
            <w:tcMar>
              <w:top w:w="40" w:type="dxa"/>
              <w:start w:w="108" w:type="dxa"/>
              <w:bottom w:w="40" w:type="dxa"/>
              <w:end w:w="108" w:type="dxa"/>
            </w:tcMar>
          </w:tcPr>
          <w:p>
            <w:pPr>
              <w:pStyle w:val="TableParagraph"/>
              <w:spacing w:before="1" w:after="0"/>
              <w:ind w:start="0"/>
              <w:rPr>
                <w:rFonts w:ascii="Arial" w:hAnsi="Arial" w:cs="Arial"/>
                <w:b/>
                <w:bCs/>
                <w:sz w:val="28"/>
                <w:szCs w:val="28"/>
              </w:rPr>
            </w:pPr>
            <w:r>
              <w:rPr>
                <w:rFonts w:cs="Arial" w:ascii="Arial" w:hAnsi="Arial"/>
                <w:b/>
                <w:bCs/>
                <w:sz w:val="18"/>
              </w:rPr>
              <w:t>Alcance</w:t>
            </w:r>
            <w:r>
              <w:rPr>
                <w:rFonts w:cs="Arial" w:ascii="Arial" w:hAnsi="Arial"/>
                <w:b/>
                <w:bCs/>
                <w:sz w:val="28"/>
                <w:szCs w:val="28"/>
              </w:rPr>
              <w:t xml:space="preserve"> </w:t>
            </w:r>
          </w:p>
          <w:p>
            <w:pPr>
              <w:pStyle w:val="TableParagraph"/>
              <w:spacing w:before="1" w:after="0"/>
              <w:ind w:start="0"/>
              <w:rPr>
                <w:rFonts w:ascii="Arial" w:hAnsi="Arial" w:cs="Arial"/>
                <w:b/>
                <w:bCs/>
                <w:sz w:val="28"/>
                <w:szCs w:val="28"/>
              </w:rPr>
            </w:pPr>
            <w:r>
              <w:rPr>
                <w:rFonts w:cs="Arial" w:ascii="Arial" w:hAnsi="Arial"/>
                <w:b/>
                <w:bCs/>
                <w:sz w:val="28"/>
                <w:szCs w:val="28"/>
              </w:rPr>
            </w:r>
          </w:p>
          <w:p>
            <w:pPr>
              <w:pStyle w:val="TableParagraph"/>
              <w:spacing w:lineRule="auto" w:line="276" w:before="0" w:after="80"/>
              <w:ind w:start="0"/>
              <w:jc w:val="both"/>
              <w:rPr>
                <w:rFonts w:ascii="Arial" w:hAnsi="Arial" w:cs="Arial"/>
                <w:i/>
                <w:color w:val="ADAAAA"/>
                <w:sz w:val="18"/>
              </w:rPr>
            </w:pPr>
            <w:r>
              <w:rPr>
                <w:b/>
                <w:i w:val="false"/>
                <w:sz w:val="18"/>
              </w:rPr>
              <w:t>Incluye:</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Selección de la medida de descongestión y consulta de su detalle (acuerdo, resolución, vigencia, despachos origen con su administrador, cifras y avance).</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Consulta de los procesos recibidos de la medida con indicadores-filtro, búsqueda y aviso de pendientes (nuevos, sin actuación, vencidos o por vencer).</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Detalle y trazabilidad de cada proceso (recepción, actuaciones, finalización o devolución).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Registro de cada actuación con estado procesal, fecha y fecha estimada de la próxima actuación.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Finalización del proceso con forma de terminación y notificación al administrador del despacho origen.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Devolución del proceso al despacho origen con motivo, observación y notificación al administrador del despacho origen.</w:t>
            </w:r>
          </w:p>
          <w:p>
            <w:pPr>
              <w:pStyle w:val="TableParagraph"/>
              <w:spacing w:lineRule="auto" w:line="276" w:before="0" w:after="80"/>
              <w:ind w:start="0"/>
              <w:jc w:val="both"/>
              <w:rPr>
                <w:rFonts w:ascii="Arial" w:hAnsi="Arial" w:cs="Arial"/>
                <w:i/>
                <w:color w:val="ADAAAA"/>
                <w:sz w:val="18"/>
              </w:rPr>
            </w:pPr>
            <w:r>
              <w:rPr>
                <w:b/>
                <w:i w:val="false"/>
                <w:sz w:val="18"/>
              </w:rPr>
              <w:t>No incluye:</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Envío de correos a demandantes o demandados (las notificaciones van solo al administrador del despacho origen).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La creación de la medida de descongestión y el envío de procesos desde el despacho origen (se gestionan en otras pantallas del módulo).</w:t>
            </w:r>
          </w:p>
          <w:p>
            <w:pPr>
              <w:pStyle w:val="TableParagraph"/>
              <w:spacing w:before="1" w:after="0"/>
              <w:ind w:start="0"/>
              <w:rPr>
                <w:rFonts w:ascii="Arial" w:hAnsi="Arial" w:cs="Arial"/>
                <w:b/>
                <w:bCs/>
                <w:sz w:val="28"/>
                <w:szCs w:val="28"/>
              </w:rPr>
            </w:pPr>
            <w:r>
              <w:rPr>
                <w:rFonts w:cs="Arial" w:ascii="Arial" w:hAnsi="Arial"/>
                <w:b/>
                <w:bCs/>
                <w:sz w:val="28"/>
                <w:szCs w:val="28"/>
              </w:rPr>
            </w:r>
          </w:p>
        </w:tc>
      </w:tr>
      <w:tr>
        <w:trPr>
          <w:trHeight w:val="421"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E2EFD9" w:themeFill="accent6" w:themeFillTint="33" w:val="clear"/>
            <w:vAlign w:val="center"/>
          </w:tcPr>
          <w:p>
            <w:pPr>
              <w:pStyle w:val="Normal"/>
              <w:jc w:val="center"/>
              <w:rPr>
                <w:b/>
                <w:bCs/>
                <w:color w:val="000000"/>
                <w:sz w:val="20"/>
                <w:szCs w:val="20"/>
              </w:rPr>
            </w:pPr>
            <w:r>
              <w:rPr>
                <w:b/>
                <w:bCs/>
                <w:color w:val="000000"/>
                <w:sz w:val="20"/>
                <w:szCs w:val="20"/>
              </w:rPr>
              <w:t>DESCRIPCIÓN DETALLADA DE LOS CASOS DE USO</w:t>
            </w:r>
          </w:p>
        </w:tc>
      </w:tr>
      <w:tr>
        <w:trPr>
          <w:trHeight w:val="421"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FFFFFF" w:themeFill="background1" w:val="clear"/>
            <w:tcMar>
              <w:top w:w="40" w:type="dxa"/>
              <w:start w:w="108" w:type="dxa"/>
              <w:bottom w:w="40" w:type="dxa"/>
              <w:end w:w="108" w:type="dxa"/>
            </w:tcMar>
            <w:vAlign w:val="center"/>
          </w:tcPr>
          <w:p>
            <w:pPr>
              <w:pStyle w:val="Normal"/>
              <w:rPr>
                <w:b/>
                <w:bCs/>
                <w:color w:val="000000"/>
                <w:sz w:val="20"/>
                <w:szCs w:val="20"/>
              </w:rPr>
            </w:pPr>
            <w:r>
              <w:rPr>
                <w:b/>
                <w:bCs/>
                <w:color w:val="000000"/>
                <w:sz w:val="20"/>
                <w:szCs w:val="20"/>
              </w:rPr>
              <w:t>Casos de uso (épica)</w:t>
            </w:r>
          </w:p>
          <w:p>
            <w:pPr>
              <w:pStyle w:val="Normal"/>
              <w:rPr>
                <w:b/>
                <w:bCs/>
                <w:color w:val="000000"/>
                <w:sz w:val="20"/>
                <w:szCs w:val="20"/>
              </w:rPr>
            </w:pPr>
            <w:r>
              <w:rPr>
                <w:b/>
                <w:bCs/>
                <w:color w:val="000000"/>
                <w:sz w:val="20"/>
                <w:szCs w:val="20"/>
              </w:rPr>
            </w:r>
          </w:p>
          <w:p>
            <w:pPr>
              <w:pStyle w:val="TableParagraph"/>
              <w:spacing w:lineRule="auto" w:line="276" w:before="0" w:after="80"/>
              <w:ind w:start="0"/>
              <w:jc w:val="both"/>
              <w:rPr>
                <w:rFonts w:ascii="Arial" w:hAnsi="Arial" w:cs="Arial"/>
                <w:i/>
                <w:color w:val="ADAAAA"/>
                <w:sz w:val="18"/>
              </w:rPr>
            </w:pPr>
            <w:r>
              <w:rPr>
                <w:b/>
                <w:i w:val="false"/>
                <w:sz w:val="18"/>
              </w:rPr>
              <w:t>EP01 – Recepción y seguimiento de procesos del despacho de descongestión</w:t>
            </w:r>
          </w:p>
          <w:p>
            <w:pPr>
              <w:pStyle w:val="TableParagraph"/>
              <w:spacing w:lineRule="auto" w:line="276" w:before="0" w:after="80"/>
              <w:ind w:start="0"/>
              <w:jc w:val="both"/>
              <w:rPr>
                <w:rFonts w:ascii="Arial" w:hAnsi="Arial" w:cs="Arial"/>
                <w:i/>
                <w:color w:val="ADAAAA"/>
                <w:sz w:val="18"/>
              </w:rPr>
            </w:pPr>
            <w:r>
              <w:rPr>
                <w:i w:val="false"/>
                <w:sz w:val="18"/>
              </w:rPr>
              <w:t>Agrupa la recepción de los procesos que los despachos origen envían al despacho de descongestión dentro de una medida, el registro de sus actuaciones con el control de la próxima, y la finalización o devolución al despacho origen, durante la vigencia de la medida.</w:t>
            </w:r>
          </w:p>
          <w:p>
            <w:pPr>
              <w:pStyle w:val="Normal"/>
              <w:rPr>
                <w:b/>
                <w:bCs/>
                <w:color w:val="000000"/>
                <w:sz w:val="20"/>
                <w:szCs w:val="20"/>
              </w:rPr>
            </w:pPr>
            <w:r>
              <w:rPr>
                <w:b/>
                <w:bCs/>
                <w:color w:val="000000"/>
                <w:sz w:val="20"/>
                <w:szCs w:val="20"/>
              </w:rPr>
            </w:r>
          </w:p>
        </w:tc>
      </w:tr>
      <w:tr>
        <w:trPr>
          <w:trHeight w:val="421"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FFFFFF" w:themeFill="background1" w:val="clear"/>
            <w:tcMar>
              <w:top w:w="40" w:type="dxa"/>
              <w:start w:w="108" w:type="dxa"/>
              <w:bottom w:w="40" w:type="dxa"/>
              <w:end w:w="108" w:type="dxa"/>
            </w:tcMar>
          </w:tcPr>
          <w:p>
            <w:pPr>
              <w:pStyle w:val="TableParagraph"/>
              <w:spacing w:before="1" w:after="0"/>
              <w:ind w:start="0"/>
              <w:rPr>
                <w:rFonts w:ascii="Arial" w:hAnsi="Arial" w:cs="Arial"/>
                <w:b/>
                <w:bCs/>
                <w:sz w:val="18"/>
              </w:rPr>
            </w:pPr>
            <w:bookmarkStart w:id="0" w:name="_Toc148545116"/>
            <w:r>
              <w:rPr>
                <w:rFonts w:cs="Arial" w:ascii="Arial" w:hAnsi="Arial"/>
                <w:b/>
                <w:bCs/>
                <w:sz w:val="18"/>
              </w:rPr>
              <w:t>Historias de Usuario Relacionadas</w:t>
            </w:r>
          </w:p>
          <w:p>
            <w:pPr>
              <w:pStyle w:val="TableParagraph"/>
              <w:spacing w:before="1" w:after="0"/>
              <w:ind w:start="0"/>
              <w:rPr>
                <w:rFonts w:ascii="Arial" w:hAnsi="Arial" w:cs="Arial"/>
                <w:b/>
                <w:bCs/>
                <w:sz w:val="18"/>
              </w:rPr>
            </w:pPr>
            <w:r>
              <w:rPr>
                <w:rFonts w:cs="Arial" w:ascii="Arial" w:hAnsi="Arial"/>
                <w:b/>
                <w:bCs/>
                <w:sz w:val="18"/>
              </w:rPr>
            </w:r>
          </w:p>
          <w:p>
            <w:pPr>
              <w:pStyle w:val="Normal"/>
              <w:shd w:val="clear" w:color="auto" w:fill="FFFFFF"/>
              <w:rPr>
                <w:i/>
                <w:color w:val="ADAAAA"/>
                <w:sz w:val="18"/>
              </w:rPr>
            </w:pPr>
            <w:r>
              <w:rPr>
                <w:i/>
                <w:color w:val="ADAAAA"/>
                <w:sz w:val="18"/>
              </w:rPr>
            </w:r>
          </w:p>
          <w:p>
            <w:pPr>
              <w:pStyle w:val="Heading2"/>
              <w:rPr>
                <w:b w:val="false"/>
                <w:bCs/>
                <w:sz w:val="18"/>
                <w:szCs w:val="18"/>
              </w:rPr>
            </w:pPr>
            <w:r>
              <w:rPr>
                <w:i w:val="false"/>
                <w:sz w:val="18"/>
              </w:rPr>
              <w:t>HU01 – Seleccionar la medida y consultar su detalle y sus procesos</w:t>
            </w:r>
          </w:p>
          <w:p>
            <w:pPr>
              <w:pStyle w:val="Heading2"/>
              <w:rPr/>
            </w:pPr>
            <w:r>
              <w:rPr/>
            </w:r>
          </w:p>
          <w:p>
            <w:pPr>
              <w:pStyle w:val="Heading2"/>
              <w:rPr>
                <w:b w:val="false"/>
                <w:bCs/>
                <w:sz w:val="20"/>
                <w:szCs w:val="20"/>
              </w:rPr>
            </w:pPr>
            <w:r>
              <w:rPr>
                <w:i w:val="false"/>
                <w:sz w:val="20"/>
              </w:rPr>
              <w:t>Historia de usuario HU01</w:t>
            </w:r>
          </w:p>
          <w:p>
            <w:pPr>
              <w:pStyle w:val="Normal"/>
              <w:rPr/>
            </w:pPr>
            <w:r>
              <w:rPr/>
            </w:r>
          </w:p>
          <w:tbl>
            <w:tblPr>
              <w:tblStyle w:val="Tablaconcuadrcula"/>
              <w:tblW w:w="87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1"/>
              <w:gridCol w:w="7483"/>
            </w:tblGrid>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Yo Como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Administrador del Despacho de Descongestión</w:t>
                  </w:r>
                </w:p>
              </w:tc>
            </w:tr>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Quiero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seleccionar la medida de descongestión y consultar su detalle y los procesos recibidos</w:t>
                  </w:r>
                </w:p>
              </w:tc>
            </w:tr>
            <w:tr>
              <w:trPr/>
              <w:tc>
                <w:tcPr>
                  <w:tcW w:w="1251" w:type="dxa"/>
                  <w:tcBorders/>
                </w:tcPr>
                <w:p>
                  <w:pPr>
                    <w:pStyle w:val="Normal"/>
                    <w:widowControl/>
                    <w:spacing w:before="0" w:after="0"/>
                    <w:jc w:val="start"/>
                    <w:rPr>
                      <w:i/>
                      <w:color w:val="ADAAAA"/>
                      <w:sz w:val="18"/>
                      <w:lang w:eastAsia="en-US"/>
                    </w:rPr>
                  </w:pPr>
                  <w:r>
                    <w:rPr>
                      <w:rFonts w:eastAsia="Arial" w:cs="Arial"/>
                      <w:b/>
                      <w:bCs/>
                      <w:kern w:val="0"/>
                      <w:sz w:val="20"/>
                      <w:szCs w:val="20"/>
                      <w:lang w:val="es-CO" w:eastAsia="es-MX" w:bidi="ar-SA"/>
                    </w:rPr>
                    <w:t>Para</w:t>
                  </w:r>
                </w:p>
              </w:tc>
              <w:tc>
                <w:tcPr>
                  <w:tcW w:w="7483" w:type="dxa"/>
                  <w:tcBorders/>
                </w:tcPr>
                <w:p>
                  <w:pPr>
                    <w:pStyle w:val="Normal"/>
                    <w:widowControl w:val="false"/>
                    <w:shd w:val="clear" w:color="auto" w:fill="FFFFFF"/>
                    <w:spacing w:before="0" w:after="0"/>
                    <w:jc w:val="start"/>
                    <w:rPr>
                      <w:i/>
                      <w:color w:val="ADAAAA"/>
                      <w:sz w:val="18"/>
                      <w:lang w:eastAsia="en-US"/>
                    </w:rPr>
                  </w:pPr>
                  <w:r>
                    <w:rPr>
                      <w:rFonts w:eastAsia="Arial" w:cs="Arial"/>
                      <w:i w:val="false"/>
                      <w:kern w:val="0"/>
                      <w:sz w:val="18"/>
                      <w:szCs w:val="22"/>
                      <w:lang w:val="es-CO" w:eastAsia="es-MX" w:bidi="ar-SA"/>
                    </w:rPr>
                    <w:t>conocer la vigencia, los despachos origen autorizados y el estado de cada proceso antes de gestionarlo</w:t>
                  </w:r>
                </w:p>
              </w:tc>
            </w:tr>
          </w:tbl>
          <w:p>
            <w:pPr>
              <w:pStyle w:val="Normal"/>
              <w:shd w:val="clear" w:color="auto" w:fill="FFFFFF"/>
              <w:rPr>
                <w:i/>
                <w:color w:val="ADAAAA"/>
                <w:sz w:val="18"/>
              </w:rPr>
            </w:pPr>
            <w:r>
              <w:rPr>
                <w:i/>
                <w:color w:val="ADAAAA"/>
                <w:sz w:val="18"/>
              </w:rPr>
            </w:r>
          </w:p>
          <w:p>
            <w:pPr>
              <w:pStyle w:val="Heading2"/>
              <w:rPr>
                <w:bCs/>
                <w:sz w:val="20"/>
                <w:szCs w:val="20"/>
              </w:rPr>
            </w:pPr>
            <w:r>
              <w:rPr>
                <w:bCs/>
                <w:sz w:val="20"/>
                <w:szCs w:val="20"/>
              </w:rPr>
              <w:t>Descripción de la HU</w:t>
            </w:r>
          </w:p>
          <w:p>
            <w:pPr>
              <w:pStyle w:val="Normal"/>
              <w:rPr/>
            </w:pPr>
            <w:r>
              <w:rPr/>
            </w:r>
          </w:p>
          <w:p>
            <w:pPr>
              <w:pStyle w:val="TableParagraph"/>
              <w:spacing w:lineRule="auto" w:line="276" w:before="0" w:after="80"/>
              <w:ind w:start="0"/>
              <w:jc w:val="both"/>
              <w:rPr>
                <w:rFonts w:ascii="Arial" w:hAnsi="Arial" w:cs="Arial"/>
                <w:i/>
                <w:color w:val="ADAAAA"/>
                <w:sz w:val="18"/>
              </w:rPr>
            </w:pPr>
            <w:r>
              <w:rPr>
                <w:b/>
                <w:i w:val="false"/>
                <w:sz w:val="18"/>
              </w:rPr>
              <w:t>Descripción:</w:t>
            </w:r>
            <w:r>
              <w:rPr>
                <w:i w:val="false"/>
                <w:sz w:val="18"/>
              </w:rPr>
              <w:t xml:space="preserve"> la pantalla identifica el despacho destino (nombre, código y Consejo Seccional que supervisa) y presenta en el paso 1 el selector de las medidas en las que el despacho es destino; al elegir una, el paso 2 muestra el detalle de la medida y habilita la gestión de sus procesos.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Detalle de la medida: acuerdo y resolución, vigencia con días restantes, cifras de procesos autorizados, recibidos, en trámite, finalizados y devueltos, tarjetas de cada despacho origen con su administrador (destinatario de las notificaciones) y del despacho destino (único autorizado), y barra de avance de la vigencia.</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Lista de procesos: código, partes (demandantes y demandados), despacho origen con fecha de recepción, estado procesal actual, próxima actuación con su semáforo, y acciones.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Entrada: medida (lista, obligatoria); búsqueda por código, demandante o demandado (texto, opcional).</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Salida: detalle de la medida, aviso de pendientes, indicadores y tabla de procesos filtrada.</w:t>
            </w:r>
          </w:p>
          <w:p>
            <w:pPr>
              <w:pStyle w:val="TableParagraph"/>
              <w:ind w:start="0"/>
              <w:rPr>
                <w:rFonts w:ascii="Arial" w:hAnsi="Arial" w:cs="Arial"/>
                <w:i/>
                <w:color w:val="ADAAAA"/>
                <w:sz w:val="18"/>
              </w:rPr>
            </w:pPr>
            <w:r>
              <w:rPr>
                <w:rFonts w:cs="Arial" w:ascii="Arial" w:hAnsi="Arial"/>
                <w:i/>
                <w:color w:val="ADAAAA"/>
                <w:sz w:val="18"/>
              </w:rPr>
            </w:r>
          </w:p>
          <w:p>
            <w:pPr>
              <w:pStyle w:val="TableParagraph"/>
              <w:spacing w:lineRule="auto" w:line="276" w:before="0" w:after="80"/>
              <w:ind w:start="0"/>
              <w:jc w:val="both"/>
              <w:rPr>
                <w:rFonts w:ascii="Arial" w:hAnsi="Arial" w:cs="Arial"/>
                <w:i/>
                <w:color w:val="ADAAAA"/>
                <w:sz w:val="18"/>
              </w:rPr>
            </w:pPr>
            <w:r>
              <w:rPr>
                <w:b/>
                <w:i w:val="false"/>
                <w:sz w:val="18"/>
              </w:rPr>
              <w:t>Precondiciones: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El despacho debe estar asignado como destino de al menos una medida de descongestión con procesos enviados por los despachos origen.</w:t>
            </w:r>
          </w:p>
          <w:p>
            <w:pPr>
              <w:pStyle w:val="TableParagraph"/>
              <w:ind w:start="0"/>
              <w:rPr>
                <w:rFonts w:ascii="Arial" w:hAnsi="Arial" w:cs="Arial"/>
                <w:i/>
                <w:color w:val="ADAAAA"/>
                <w:sz w:val="18"/>
              </w:rPr>
            </w:pPr>
            <w:r>
              <w:rPr>
                <w:rFonts w:cs="Arial" w:ascii="Arial" w:hAnsi="Arial"/>
                <w:i/>
                <w:color w:val="ADAAAA"/>
                <w:sz w:val="18"/>
              </w:rPr>
            </w:r>
          </w:p>
          <w:p>
            <w:pPr>
              <w:pStyle w:val="Normal"/>
              <w:shd w:val="clear" w:color="auto" w:fill="FFFFFF"/>
              <w:rPr>
                <w:i/>
                <w:color w:val="ADAAAA"/>
                <w:sz w:val="18"/>
              </w:rPr>
            </w:pPr>
            <w:r>
              <w:rPr>
                <w:i/>
                <w:color w:val="ADAAAA"/>
                <w:sz w:val="18"/>
              </w:rPr>
            </w:r>
          </w:p>
          <w:p>
            <w:pPr>
              <w:pStyle w:val="Heading2"/>
              <w:rPr>
                <w:b w:val="false"/>
                <w:bCs/>
                <w:sz w:val="20"/>
                <w:szCs w:val="20"/>
              </w:rPr>
            </w:pPr>
            <w:r>
              <w:rPr>
                <w:bCs/>
                <w:sz w:val="20"/>
                <w:szCs w:val="20"/>
              </w:rPr>
              <w:t>Criterios de Aceptación</w:t>
            </w:r>
          </w:p>
          <w:p>
            <w:pPr>
              <w:pStyle w:val="Heading2"/>
              <w:rPr>
                <w:bCs/>
                <w:sz w:val="20"/>
                <w:szCs w:val="20"/>
              </w:rPr>
            </w:pPr>
            <w:r>
              <w:rPr>
                <w:i w:val="false"/>
                <w:sz w:val="20"/>
              </w:rPr>
              <w:t>HU01_CA01 – Selección de la medida</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selecciona una medida en el selector del paso 1,</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sistema presenta el paso 2,</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muestra el detalle de la medida (acuerdo, resolución, vigencia con días restantes, cifras, despachos origen con su administrador y despacho destino único autorizado) y la tabla de los procesos recibidos en la medida, con el texto "Mostrando X de todos los procesos".</w:t>
            </w:r>
          </w:p>
          <w:p>
            <w:pPr>
              <w:pStyle w:val="Normal"/>
              <w:rPr>
                <w:bCs/>
                <w:sz w:val="20"/>
                <w:szCs w:val="20"/>
              </w:rPr>
            </w:pPr>
            <w:r>
              <w:rPr>
                <w:bCs/>
                <w:sz w:val="20"/>
                <w:szCs w:val="20"/>
              </w:rPr>
            </w:r>
          </w:p>
          <w:p>
            <w:pPr>
              <w:pStyle w:val="Heading2"/>
              <w:rPr>
                <w:bCs/>
                <w:sz w:val="20"/>
                <w:szCs w:val="20"/>
              </w:rPr>
            </w:pPr>
            <w:r>
              <w:rPr>
                <w:i w:val="false"/>
                <w:sz w:val="20"/>
              </w:rPr>
              <w:t>HU01_CA02 – Despacho sin medidas</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despacho no tiene medidas de descongestión asignadas,</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abre la pantalla,</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selector queda deshabilitado con el mensaje "Su despacho no tiene medidas de descongestión asignadas" y no se habilita la gestión de procesos.</w:t>
            </w:r>
          </w:p>
          <w:p>
            <w:pPr>
              <w:pStyle w:val="Normal"/>
              <w:rPr>
                <w:bCs/>
                <w:sz w:val="20"/>
                <w:szCs w:val="20"/>
              </w:rPr>
            </w:pPr>
            <w:r>
              <w:rPr>
                <w:bCs/>
                <w:sz w:val="20"/>
                <w:szCs w:val="20"/>
              </w:rPr>
            </w:r>
          </w:p>
          <w:p>
            <w:pPr>
              <w:pStyle w:val="Heading2"/>
              <w:rPr>
                <w:bCs/>
                <w:sz w:val="20"/>
                <w:szCs w:val="20"/>
              </w:rPr>
            </w:pPr>
            <w:r>
              <w:rPr>
                <w:i w:val="false"/>
                <w:sz w:val="20"/>
              </w:rPr>
              <w:t>HU01_CA03 – Aviso de pendientes</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en la medida hay procesos nuevos sin ver, sin actuación registrada, con la próxima actuación vencida o por vencer (7 días o menos), o de una medida ya finalizada,</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selecciona la medida,</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muestra el aviso "Evite el vencimiento de la próxima actuación" con el detalle de cada pendiente y el botón "Ver procesos pendientes" que filtra la tabla con esos procesos.</w:t>
            </w:r>
          </w:p>
          <w:p>
            <w:pPr>
              <w:pStyle w:val="Normal"/>
              <w:rPr>
                <w:bCs/>
                <w:sz w:val="20"/>
                <w:szCs w:val="20"/>
              </w:rPr>
            </w:pPr>
            <w:r>
              <w:rPr>
                <w:bCs/>
                <w:sz w:val="20"/>
                <w:szCs w:val="20"/>
              </w:rPr>
            </w:r>
          </w:p>
          <w:p>
            <w:pPr>
              <w:pStyle w:val="Heading2"/>
              <w:rPr>
                <w:bCs/>
                <w:sz w:val="20"/>
                <w:szCs w:val="20"/>
              </w:rPr>
            </w:pPr>
            <w:r>
              <w:rPr>
                <w:i w:val="false"/>
                <w:sz w:val="20"/>
              </w:rPr>
              <w:t>HU01_CA04 – Filtros y búsqueda de procesos</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necesita ubicar procesos específicos,</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hace clic en un indicador (En trámite, Sin actuación registrada, Vencidas o por vencer, Finalizados, Devueltos al origen) o escribe en la búsqueda,</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la tabla se filtra por el estado seleccionado y por código, demandante o demandado, actualizando el conteo de procesos mostrados y ofreciendo el enlace "Ver todos" para quitar el filtro.</w:t>
            </w:r>
          </w:p>
          <w:p>
            <w:pPr>
              <w:pStyle w:val="Normal"/>
              <w:rPr>
                <w:bCs/>
                <w:sz w:val="20"/>
                <w:szCs w:val="20"/>
              </w:rPr>
            </w:pPr>
            <w:r>
              <w:rPr>
                <w:bCs/>
                <w:sz w:val="20"/>
                <w:szCs w:val="20"/>
              </w:rPr>
            </w:r>
          </w:p>
          <w:p>
            <w:pPr>
              <w:pStyle w:val="TableParagraph"/>
              <w:spacing w:lineRule="auto" w:line="276" w:before="0" w:after="80"/>
              <w:ind w:start="0"/>
              <w:jc w:val="center"/>
              <w:rPr>
                <w:rFonts w:ascii="Arial" w:hAnsi="Arial" w:cs="Arial"/>
                <w:i/>
                <w:color w:val="ADAAAA"/>
                <w:sz w:val="18"/>
              </w:rPr>
            </w:pPr>
            <w:r>
              <w:rPr>
                <w:i w:val="false"/>
                <w:sz w:val="18"/>
              </w:rPr>
              <w:t>Captura HU01 - Pantalla al abrirse: identificación del despacho destino y paso 1 de selección de la medida</w:t>
            </w:r>
          </w:p>
          <w:p>
            <w:pPr>
              <w:pStyle w:val="Normal"/>
              <w:spacing w:before="80" w:after="80"/>
              <w:jc w:val="center"/>
              <w:rPr/>
            </w:pPr>
            <w:r>
              <w:rPr/>
              <w:drawing>
                <wp:inline distT="0" distB="0" distL="0" distR="0">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3291840"/>
                          </a:xfrm>
                          <a:prstGeom prst="rect">
                            <a:avLst/>
                          </a:prstGeom>
                          <a:noFill/>
                        </pic:spPr>
                      </pic:pic>
                    </a:graphicData>
                  </a:graphic>
                </wp:inline>
              </w:drawing>
            </w:r>
          </w:p>
          <w:p>
            <w:pPr>
              <w:pStyle w:val="Normal"/>
              <w:rPr>
                <w:b w:val="false"/>
                <w:bCs/>
                <w:sz w:val="18"/>
                <w:szCs w:val="18"/>
              </w:rPr>
            </w:pPr>
            <w:r>
              <w:rPr>
                <w:b w:val="false"/>
                <w:bCs/>
                <w:sz w:val="18"/>
                <w:szCs w:val="18"/>
              </w:rPr>
            </w:r>
          </w:p>
          <w:p>
            <w:pPr>
              <w:pStyle w:val="Heading2"/>
              <w:rPr>
                <w:b w:val="false"/>
                <w:bCs/>
                <w:sz w:val="18"/>
                <w:szCs w:val="18"/>
              </w:rPr>
            </w:pPr>
            <w:r>
              <w:rPr>
                <w:i w:val="false"/>
                <w:sz w:val="18"/>
              </w:rPr>
              <w:t>HU02 – Consultar el detalle y la trazabilidad de un proceso recibido</w:t>
            </w:r>
          </w:p>
          <w:p>
            <w:pPr>
              <w:pStyle w:val="Heading2"/>
              <w:rPr/>
            </w:pPr>
            <w:r>
              <w:rPr/>
            </w:r>
          </w:p>
          <w:p>
            <w:pPr>
              <w:pStyle w:val="Heading2"/>
              <w:rPr>
                <w:b w:val="false"/>
                <w:bCs/>
                <w:sz w:val="20"/>
                <w:szCs w:val="20"/>
              </w:rPr>
            </w:pPr>
            <w:r>
              <w:rPr>
                <w:i w:val="false"/>
                <w:sz w:val="20"/>
              </w:rPr>
              <w:t>Historia de usuario HU02</w:t>
            </w:r>
          </w:p>
          <w:p>
            <w:pPr>
              <w:pStyle w:val="Normal"/>
              <w:rPr/>
            </w:pPr>
            <w:r>
              <w:rPr/>
            </w:r>
          </w:p>
          <w:tbl>
            <w:tblPr>
              <w:tblStyle w:val="Tablaconcuadrcula"/>
              <w:tblW w:w="87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1"/>
              <w:gridCol w:w="7483"/>
            </w:tblGrid>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Yo Como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Administrador del Despacho de Descongestión</w:t>
                  </w:r>
                </w:p>
              </w:tc>
            </w:tr>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Quiero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consultar el detalle y la trazabilidad de un proceso recibido</w:t>
                  </w:r>
                </w:p>
              </w:tc>
            </w:tr>
            <w:tr>
              <w:trPr/>
              <w:tc>
                <w:tcPr>
                  <w:tcW w:w="1251" w:type="dxa"/>
                  <w:tcBorders/>
                </w:tcPr>
                <w:p>
                  <w:pPr>
                    <w:pStyle w:val="Normal"/>
                    <w:widowControl/>
                    <w:spacing w:before="0" w:after="0"/>
                    <w:jc w:val="start"/>
                    <w:rPr>
                      <w:i/>
                      <w:color w:val="ADAAAA"/>
                      <w:sz w:val="18"/>
                      <w:lang w:eastAsia="en-US"/>
                    </w:rPr>
                  </w:pPr>
                  <w:r>
                    <w:rPr>
                      <w:rFonts w:eastAsia="Arial" w:cs="Arial"/>
                      <w:b/>
                      <w:bCs/>
                      <w:kern w:val="0"/>
                      <w:sz w:val="20"/>
                      <w:szCs w:val="20"/>
                      <w:lang w:val="es-CO" w:eastAsia="es-MX" w:bidi="ar-SA"/>
                    </w:rPr>
                    <w:t>Para</w:t>
                  </w:r>
                </w:p>
              </w:tc>
              <w:tc>
                <w:tcPr>
                  <w:tcW w:w="7483" w:type="dxa"/>
                  <w:tcBorders/>
                </w:tcPr>
                <w:p>
                  <w:pPr>
                    <w:pStyle w:val="Normal"/>
                    <w:widowControl w:val="false"/>
                    <w:shd w:val="clear" w:color="auto" w:fill="FFFFFF"/>
                    <w:spacing w:before="0" w:after="0"/>
                    <w:jc w:val="start"/>
                    <w:rPr>
                      <w:i/>
                      <w:color w:val="ADAAAA"/>
                      <w:sz w:val="18"/>
                      <w:lang w:eastAsia="en-US"/>
                    </w:rPr>
                  </w:pPr>
                  <w:r>
                    <w:rPr>
                      <w:rFonts w:eastAsia="Arial" w:cs="Arial"/>
                      <w:i w:val="false"/>
                      <w:kern w:val="0"/>
                      <w:sz w:val="18"/>
                      <w:szCs w:val="22"/>
                      <w:lang w:val="es-CO" w:eastAsia="es-MX" w:bidi="ar-SA"/>
                    </w:rPr>
                    <w:t>conocer su estado, sus partes y el historial de gestiones antes de actuar sobre él</w:t>
                  </w:r>
                </w:p>
              </w:tc>
            </w:tr>
          </w:tbl>
          <w:p>
            <w:pPr>
              <w:pStyle w:val="Normal"/>
              <w:shd w:val="clear" w:color="auto" w:fill="FFFFFF"/>
              <w:rPr>
                <w:i/>
                <w:color w:val="ADAAAA"/>
                <w:sz w:val="18"/>
              </w:rPr>
            </w:pPr>
            <w:r>
              <w:rPr>
                <w:i/>
                <w:color w:val="ADAAAA"/>
                <w:sz w:val="18"/>
              </w:rPr>
            </w:r>
          </w:p>
          <w:p>
            <w:pPr>
              <w:pStyle w:val="Heading2"/>
              <w:rPr>
                <w:bCs/>
                <w:sz w:val="20"/>
                <w:szCs w:val="20"/>
              </w:rPr>
            </w:pPr>
            <w:r>
              <w:rPr>
                <w:bCs/>
                <w:sz w:val="20"/>
                <w:szCs w:val="20"/>
              </w:rPr>
              <w:t>Descripción de la HU</w:t>
            </w:r>
          </w:p>
          <w:p>
            <w:pPr>
              <w:pStyle w:val="Normal"/>
              <w:rPr/>
            </w:pPr>
            <w:r>
              <w:rPr/>
            </w:r>
          </w:p>
          <w:p>
            <w:pPr>
              <w:pStyle w:val="TableParagraph"/>
              <w:spacing w:lineRule="auto" w:line="276" w:before="0" w:after="80"/>
              <w:ind w:start="0"/>
              <w:jc w:val="both"/>
              <w:rPr>
                <w:rFonts w:ascii="Arial" w:hAnsi="Arial" w:cs="Arial"/>
                <w:i/>
                <w:color w:val="ADAAAA"/>
                <w:sz w:val="18"/>
              </w:rPr>
            </w:pPr>
            <w:r>
              <w:rPr>
                <w:b/>
                <w:i w:val="false"/>
                <w:sz w:val="18"/>
              </w:rPr>
              <w:t>Descripción:</w:t>
            </w:r>
            <w:r>
              <w:rPr>
                <w:i w:val="false"/>
                <w:sz w:val="18"/>
              </w:rPr>
              <w:t xml:space="preserve"> al presionar el código de un proceso se abre el modal "Detalle y Trazabilidad del Proceso" con la información completa del proceso y su línea de tiempo en el despacho.</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Detalle: estado procesal actual, medida con su vigencia, despacho origen y su administrador, última actuación en el origen, demandantes y demandados con su correo, observaciones del despacho origen y enlace al expediente en línea cuando existe.</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Trazabilidad: línea de tiempo con la recepción del proceso, cada actuación registrada en el despacho (con su próxima actuación y observación) y la finalización o devolución cuando aplique.</w:t>
            </w:r>
          </w:p>
          <w:p>
            <w:pPr>
              <w:pStyle w:val="TableParagraph"/>
              <w:ind w:start="0"/>
              <w:rPr>
                <w:rFonts w:ascii="Arial" w:hAnsi="Arial" w:cs="Arial"/>
                <w:i/>
                <w:color w:val="ADAAAA"/>
                <w:sz w:val="18"/>
              </w:rPr>
            </w:pPr>
            <w:r>
              <w:rPr>
                <w:rFonts w:cs="Arial" w:ascii="Arial" w:hAnsi="Arial"/>
                <w:i/>
                <w:color w:val="ADAAAA"/>
                <w:sz w:val="18"/>
              </w:rPr>
            </w:r>
          </w:p>
          <w:p>
            <w:pPr>
              <w:pStyle w:val="TableParagraph"/>
              <w:spacing w:lineRule="auto" w:line="276" w:before="0" w:after="80"/>
              <w:ind w:start="0"/>
              <w:jc w:val="both"/>
              <w:rPr>
                <w:rFonts w:ascii="Arial" w:hAnsi="Arial" w:cs="Arial"/>
                <w:i/>
                <w:color w:val="ADAAAA"/>
                <w:sz w:val="18"/>
              </w:rPr>
            </w:pPr>
            <w:r>
              <w:rPr>
                <w:b/>
                <w:i w:val="false"/>
                <w:sz w:val="18"/>
              </w:rPr>
              <w:t>Precondiciones: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Haber seleccionado una medida y que exista al menos un proceso recibido en ella.</w:t>
            </w:r>
          </w:p>
          <w:p>
            <w:pPr>
              <w:pStyle w:val="TableParagraph"/>
              <w:ind w:start="0"/>
              <w:rPr>
                <w:rFonts w:ascii="Arial" w:hAnsi="Arial" w:cs="Arial"/>
                <w:i/>
                <w:color w:val="ADAAAA"/>
                <w:sz w:val="18"/>
              </w:rPr>
            </w:pPr>
            <w:r>
              <w:rPr>
                <w:rFonts w:cs="Arial" w:ascii="Arial" w:hAnsi="Arial"/>
                <w:i/>
                <w:color w:val="ADAAAA"/>
                <w:sz w:val="18"/>
              </w:rPr>
            </w:r>
          </w:p>
          <w:p>
            <w:pPr>
              <w:pStyle w:val="Normal"/>
              <w:shd w:val="clear" w:color="auto" w:fill="FFFFFF"/>
              <w:rPr>
                <w:i/>
                <w:color w:val="ADAAAA"/>
                <w:sz w:val="18"/>
              </w:rPr>
            </w:pPr>
            <w:r>
              <w:rPr>
                <w:i/>
                <w:color w:val="ADAAAA"/>
                <w:sz w:val="18"/>
              </w:rPr>
            </w:r>
          </w:p>
          <w:p>
            <w:pPr>
              <w:pStyle w:val="Heading2"/>
              <w:rPr>
                <w:b w:val="false"/>
                <w:bCs/>
                <w:sz w:val="20"/>
                <w:szCs w:val="20"/>
              </w:rPr>
            </w:pPr>
            <w:r>
              <w:rPr>
                <w:bCs/>
                <w:sz w:val="20"/>
                <w:szCs w:val="20"/>
              </w:rPr>
              <w:t>Criterios de Aceptación</w:t>
            </w:r>
          </w:p>
          <w:p>
            <w:pPr>
              <w:pStyle w:val="Heading2"/>
              <w:rPr>
                <w:bCs/>
                <w:sz w:val="20"/>
                <w:szCs w:val="20"/>
              </w:rPr>
            </w:pPr>
            <w:r>
              <w:rPr>
                <w:i w:val="false"/>
                <w:sz w:val="20"/>
              </w:rPr>
              <w:t>HU02_CA01 – Detalle del proceso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presiona el código de un proceso en la tabla,</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abre el modal "Detalle y Trazabilidad del Proceso",</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muestra el estado procesal actual, la medida con su vigencia, el despacho origen con su administrador, la última actuación en el origen, los demandantes y demandados, las observaciones del origen y el enlace "Ver expediente en línea (Rama Judicial)" cuando el proceso lo tenga.</w:t>
            </w:r>
          </w:p>
          <w:p>
            <w:pPr>
              <w:pStyle w:val="Normal"/>
              <w:rPr>
                <w:bCs/>
                <w:sz w:val="20"/>
                <w:szCs w:val="20"/>
              </w:rPr>
            </w:pPr>
            <w:r>
              <w:rPr>
                <w:bCs/>
                <w:sz w:val="20"/>
                <w:szCs w:val="20"/>
              </w:rPr>
            </w:r>
          </w:p>
          <w:p>
            <w:pPr>
              <w:pStyle w:val="Heading2"/>
              <w:rPr>
                <w:bCs/>
                <w:sz w:val="20"/>
                <w:szCs w:val="20"/>
              </w:rPr>
            </w:pPr>
            <w:r>
              <w:rPr>
                <w:i w:val="false"/>
                <w:sz w:val="20"/>
              </w:rPr>
              <w:t>HU02_CA02 – Trazabilidad en el despacho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proceso tiene gestiones registradas,</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consulta su detalle,</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presenta la línea de tiempo con la recepción del proceso (medida, origen y estado al recibir), cada actuación registrada en el despacho con su fecha, estado procesal, próxima actuación y observación, y el cierre por finalización o devolución cuando aplique.</w:t>
            </w:r>
          </w:p>
          <w:p>
            <w:pPr>
              <w:pStyle w:val="Normal"/>
              <w:rPr>
                <w:bCs/>
                <w:sz w:val="20"/>
                <w:szCs w:val="20"/>
              </w:rPr>
            </w:pPr>
            <w:r>
              <w:rPr>
                <w:bCs/>
                <w:sz w:val="20"/>
                <w:szCs w:val="20"/>
              </w:rPr>
            </w:r>
          </w:p>
          <w:p>
            <w:pPr>
              <w:pStyle w:val="Heading2"/>
              <w:rPr>
                <w:bCs/>
                <w:sz w:val="20"/>
                <w:szCs w:val="20"/>
              </w:rPr>
            </w:pPr>
            <w:r>
              <w:rPr>
                <w:i w:val="false"/>
                <w:sz w:val="20"/>
              </w:rPr>
              <w:t>HU02_CA03 – Acciones según el estado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proceso está en trámite,</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abre su detalle,</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ofrecen las acciones "Actualizar estado", "Devolver al origen" y "Finalizar"; si el proceso está finalizado o devuelto, solo se ofrece cerrar el detalle.</w:t>
            </w:r>
          </w:p>
          <w:p>
            <w:pPr>
              <w:pStyle w:val="Normal"/>
              <w:rPr>
                <w:bCs/>
                <w:sz w:val="20"/>
                <w:szCs w:val="20"/>
              </w:rPr>
            </w:pPr>
            <w:r>
              <w:rPr>
                <w:bCs/>
                <w:sz w:val="20"/>
                <w:szCs w:val="20"/>
              </w:rPr>
            </w:r>
          </w:p>
          <w:p>
            <w:pPr>
              <w:pStyle w:val="Heading2"/>
              <w:rPr>
                <w:bCs/>
                <w:sz w:val="20"/>
                <w:szCs w:val="20"/>
              </w:rPr>
            </w:pPr>
            <w:r>
              <w:rPr>
                <w:i w:val="false"/>
                <w:sz w:val="20"/>
              </w:rPr>
              <w:t>HU02_CA04 – Proceso nuevo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un proceso recibido aún no ha sido consultado,</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lista en la tabla,</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resalta y muestra la etiqueta "NUEVO"; al abrir su detalle o gestionarlo, el proceso queda marcado como visto y pierde la etiqueta.</w:t>
            </w:r>
          </w:p>
          <w:p>
            <w:pPr>
              <w:pStyle w:val="Normal"/>
              <w:rPr>
                <w:bCs/>
                <w:sz w:val="20"/>
                <w:szCs w:val="20"/>
              </w:rPr>
            </w:pPr>
            <w:r>
              <w:rPr>
                <w:bCs/>
                <w:sz w:val="20"/>
                <w:szCs w:val="20"/>
              </w:rPr>
            </w:r>
          </w:p>
          <w:p>
            <w:pPr>
              <w:pStyle w:val="Normal"/>
              <w:rPr>
                <w:b w:val="false"/>
                <w:bCs/>
                <w:sz w:val="18"/>
                <w:szCs w:val="18"/>
              </w:rPr>
            </w:pPr>
            <w:r>
              <w:rPr>
                <w:b w:val="false"/>
                <w:bCs/>
                <w:sz w:val="18"/>
                <w:szCs w:val="18"/>
              </w:rPr>
            </w:r>
          </w:p>
          <w:p>
            <w:pPr>
              <w:pStyle w:val="Heading2"/>
              <w:rPr>
                <w:b w:val="false"/>
                <w:bCs/>
                <w:sz w:val="18"/>
                <w:szCs w:val="18"/>
              </w:rPr>
            </w:pPr>
            <w:r>
              <w:rPr>
                <w:i w:val="false"/>
                <w:sz w:val="18"/>
              </w:rPr>
              <w:t>HU03 – Registrar una actuación y controlar la próxima actuación</w:t>
            </w:r>
          </w:p>
          <w:p>
            <w:pPr>
              <w:pStyle w:val="Heading2"/>
              <w:rPr/>
            </w:pPr>
            <w:r>
              <w:rPr/>
            </w:r>
          </w:p>
          <w:p>
            <w:pPr>
              <w:pStyle w:val="Heading2"/>
              <w:rPr>
                <w:b w:val="false"/>
                <w:bCs/>
                <w:sz w:val="20"/>
                <w:szCs w:val="20"/>
              </w:rPr>
            </w:pPr>
            <w:r>
              <w:rPr>
                <w:i w:val="false"/>
                <w:sz w:val="20"/>
              </w:rPr>
              <w:t>Historia de usuario HU03</w:t>
            </w:r>
          </w:p>
          <w:p>
            <w:pPr>
              <w:pStyle w:val="Normal"/>
              <w:rPr/>
            </w:pPr>
            <w:r>
              <w:rPr/>
            </w:r>
          </w:p>
          <w:tbl>
            <w:tblPr>
              <w:tblStyle w:val="Tablaconcuadrcula"/>
              <w:tblW w:w="87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1"/>
              <w:gridCol w:w="7483"/>
            </w:tblGrid>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Yo Como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Administrador del Despacho de Descongestión</w:t>
                  </w:r>
                </w:p>
              </w:tc>
            </w:tr>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Quiero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registrar cada actuación del proceso con la fecha estimada de la próxima actuación</w:t>
                  </w:r>
                </w:p>
              </w:tc>
            </w:tr>
            <w:tr>
              <w:trPr/>
              <w:tc>
                <w:tcPr>
                  <w:tcW w:w="1251" w:type="dxa"/>
                  <w:tcBorders/>
                </w:tcPr>
                <w:p>
                  <w:pPr>
                    <w:pStyle w:val="Normal"/>
                    <w:widowControl/>
                    <w:spacing w:before="0" w:after="0"/>
                    <w:jc w:val="start"/>
                    <w:rPr>
                      <w:i/>
                      <w:color w:val="ADAAAA"/>
                      <w:sz w:val="18"/>
                      <w:lang w:eastAsia="en-US"/>
                    </w:rPr>
                  </w:pPr>
                  <w:r>
                    <w:rPr>
                      <w:rFonts w:eastAsia="Arial" w:cs="Arial"/>
                      <w:b/>
                      <w:bCs/>
                      <w:kern w:val="0"/>
                      <w:sz w:val="20"/>
                      <w:szCs w:val="20"/>
                      <w:lang w:val="es-CO" w:eastAsia="es-MX" w:bidi="ar-SA"/>
                    </w:rPr>
                    <w:t>Para</w:t>
                  </w:r>
                </w:p>
              </w:tc>
              <w:tc>
                <w:tcPr>
                  <w:tcW w:w="7483" w:type="dxa"/>
                  <w:tcBorders/>
                </w:tcPr>
                <w:p>
                  <w:pPr>
                    <w:pStyle w:val="Normal"/>
                    <w:widowControl w:val="false"/>
                    <w:shd w:val="clear" w:color="auto" w:fill="FFFFFF"/>
                    <w:spacing w:before="0" w:after="0"/>
                    <w:jc w:val="start"/>
                    <w:rPr>
                      <w:i/>
                      <w:color w:val="ADAAAA"/>
                      <w:sz w:val="18"/>
                      <w:lang w:eastAsia="en-US"/>
                    </w:rPr>
                  </w:pPr>
                  <w:r>
                    <w:rPr>
                      <w:rFonts w:eastAsia="Arial" w:cs="Arial"/>
                      <w:i w:val="false"/>
                      <w:kern w:val="0"/>
                      <w:sz w:val="18"/>
                      <w:szCs w:val="22"/>
                      <w:lang w:val="es-CO" w:eastAsia="es-MX" w:bidi="ar-SA"/>
                    </w:rPr>
                    <w:t>mantener actualizado el estado procesal y evitar el vencimiento de la próxima actuación</w:t>
                  </w:r>
                </w:p>
              </w:tc>
            </w:tr>
          </w:tbl>
          <w:p>
            <w:pPr>
              <w:pStyle w:val="Normal"/>
              <w:shd w:val="clear" w:color="auto" w:fill="FFFFFF"/>
              <w:rPr>
                <w:i/>
                <w:color w:val="ADAAAA"/>
                <w:sz w:val="18"/>
              </w:rPr>
            </w:pPr>
            <w:r>
              <w:rPr>
                <w:i/>
                <w:color w:val="ADAAAA"/>
                <w:sz w:val="18"/>
              </w:rPr>
            </w:r>
          </w:p>
          <w:p>
            <w:pPr>
              <w:pStyle w:val="Heading2"/>
              <w:rPr>
                <w:bCs/>
                <w:sz w:val="20"/>
                <w:szCs w:val="20"/>
              </w:rPr>
            </w:pPr>
            <w:r>
              <w:rPr>
                <w:bCs/>
                <w:sz w:val="20"/>
                <w:szCs w:val="20"/>
              </w:rPr>
              <w:t>Descripción de la HU</w:t>
            </w:r>
          </w:p>
          <w:p>
            <w:pPr>
              <w:pStyle w:val="Normal"/>
              <w:rPr/>
            </w:pPr>
            <w:r>
              <w:rPr/>
            </w:r>
          </w:p>
          <w:p>
            <w:pPr>
              <w:pStyle w:val="TableParagraph"/>
              <w:spacing w:lineRule="auto" w:line="276" w:before="0" w:after="80"/>
              <w:ind w:start="0"/>
              <w:jc w:val="both"/>
              <w:rPr>
                <w:rFonts w:ascii="Arial" w:hAnsi="Arial" w:cs="Arial"/>
                <w:i/>
                <w:color w:val="ADAAAA"/>
                <w:sz w:val="18"/>
              </w:rPr>
            </w:pPr>
            <w:r>
              <w:rPr>
                <w:b/>
                <w:i w:val="false"/>
                <w:sz w:val="18"/>
              </w:rPr>
              <w:t>Descripción:</w:t>
            </w:r>
            <w:r>
              <w:rPr>
                <w:i w:val="false"/>
                <w:sz w:val="18"/>
              </w:rPr>
              <w:t xml:space="preserve"> el botón "Actualizar" de un proceso en trámite abre el modal "Actualizar estado del proceso" con el resumen del proceso y el formulario de la actuación.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Entrada: nuevo estado procesal (lista obligatoria agrupada en "Continuar el trámite" y "Cerrar el proceso"), fecha de la actuación (fecha, obligatoria), fecha estimada de la próxima actuación (fecha, obligatoria) y observación (texto, opcional, máximo 500 caracteres).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Salida: la actuación registrada en la trazabilidad del proceso; la tabla actualiza el estado procesal, la última actuación, la próxima actuación y su semáforo (Vencida hace X día(s), Vence en X día(s) o Vence hoy, En X días).</w:t>
            </w:r>
          </w:p>
          <w:p>
            <w:pPr>
              <w:pStyle w:val="TableParagraph"/>
              <w:ind w:start="0"/>
              <w:rPr>
                <w:rFonts w:ascii="Arial" w:hAnsi="Arial" w:cs="Arial"/>
                <w:i/>
                <w:color w:val="ADAAAA"/>
                <w:sz w:val="18"/>
              </w:rPr>
            </w:pPr>
            <w:r>
              <w:rPr>
                <w:rFonts w:cs="Arial" w:ascii="Arial" w:hAnsi="Arial"/>
                <w:i/>
                <w:color w:val="ADAAAA"/>
                <w:sz w:val="18"/>
              </w:rPr>
            </w:r>
          </w:p>
          <w:p>
            <w:pPr>
              <w:pStyle w:val="TableParagraph"/>
              <w:spacing w:lineRule="auto" w:line="276" w:before="0" w:after="80"/>
              <w:ind w:start="0"/>
              <w:jc w:val="both"/>
              <w:rPr>
                <w:rFonts w:ascii="Arial" w:hAnsi="Arial" w:cs="Arial"/>
                <w:i/>
                <w:color w:val="ADAAAA"/>
                <w:sz w:val="18"/>
              </w:rPr>
            </w:pPr>
            <w:r>
              <w:rPr>
                <w:b/>
                <w:i w:val="false"/>
                <w:sz w:val="18"/>
              </w:rPr>
              <w:t>Precondiciones: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El proceso debe estar recibido en la medida y en trámite (no finalizado ni devuelto).</w:t>
            </w:r>
          </w:p>
          <w:p>
            <w:pPr>
              <w:pStyle w:val="TableParagraph"/>
              <w:ind w:start="0"/>
              <w:rPr>
                <w:rFonts w:ascii="Arial" w:hAnsi="Arial" w:cs="Arial"/>
                <w:i/>
                <w:color w:val="ADAAAA"/>
                <w:sz w:val="18"/>
              </w:rPr>
            </w:pPr>
            <w:r>
              <w:rPr>
                <w:rFonts w:cs="Arial" w:ascii="Arial" w:hAnsi="Arial"/>
                <w:i/>
                <w:color w:val="ADAAAA"/>
                <w:sz w:val="18"/>
              </w:rPr>
            </w:r>
          </w:p>
          <w:p>
            <w:pPr>
              <w:pStyle w:val="Normal"/>
              <w:shd w:val="clear" w:color="auto" w:fill="FFFFFF"/>
              <w:rPr>
                <w:i/>
                <w:color w:val="ADAAAA"/>
                <w:sz w:val="18"/>
              </w:rPr>
            </w:pPr>
            <w:r>
              <w:rPr>
                <w:i/>
                <w:color w:val="ADAAAA"/>
                <w:sz w:val="18"/>
              </w:rPr>
            </w:r>
          </w:p>
          <w:p>
            <w:pPr>
              <w:pStyle w:val="Heading2"/>
              <w:rPr>
                <w:b w:val="false"/>
                <w:bCs/>
                <w:sz w:val="20"/>
                <w:szCs w:val="20"/>
              </w:rPr>
            </w:pPr>
            <w:r>
              <w:rPr>
                <w:bCs/>
                <w:sz w:val="20"/>
                <w:szCs w:val="20"/>
              </w:rPr>
              <w:t>Criterios de Aceptación</w:t>
            </w:r>
          </w:p>
          <w:p>
            <w:pPr>
              <w:pStyle w:val="Heading2"/>
              <w:rPr>
                <w:bCs/>
                <w:sz w:val="20"/>
                <w:szCs w:val="20"/>
              </w:rPr>
            </w:pPr>
            <w:r>
              <w:rPr>
                <w:i w:val="false"/>
                <w:sz w:val="20"/>
              </w:rPr>
              <w:t>HU03_CA01 – Registro exitoso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diligencia el nuevo estado procesal, la fecha de la actuación y la fecha estimada de la próxima actuación,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presiona el botón "Registrar actuación",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sistema registra la actuación en la trazabilidad, actualiza el estado del proceso en la tabla y muestra el mensaje "Actuación registrada" con el estado y la próxima actuación estimada.</w:t>
            </w:r>
          </w:p>
          <w:p>
            <w:pPr>
              <w:pStyle w:val="Normal"/>
              <w:rPr>
                <w:bCs/>
                <w:sz w:val="20"/>
                <w:szCs w:val="20"/>
              </w:rPr>
            </w:pPr>
            <w:r>
              <w:rPr>
                <w:bCs/>
                <w:sz w:val="20"/>
                <w:szCs w:val="20"/>
              </w:rPr>
            </w:r>
          </w:p>
          <w:p>
            <w:pPr>
              <w:pStyle w:val="Heading2"/>
              <w:rPr>
                <w:bCs/>
                <w:sz w:val="20"/>
                <w:szCs w:val="20"/>
              </w:rPr>
            </w:pPr>
            <w:r>
              <w:rPr>
                <w:i w:val="false"/>
                <w:sz w:val="20"/>
              </w:rPr>
              <w:t>HU03_CA02 – Rango de la fecha de la actuación</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se abre el formulario de una nueva actuación,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administrador diligencia la fecha de la actuación,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sistema solo acepta fechas entre el día de la recepción del proceso (o de la última actuación registrada, la más reciente) y la fecha de hoy; no se permiten fechas anteriores ni futuras.</w:t>
            </w:r>
          </w:p>
          <w:p>
            <w:pPr>
              <w:pStyle w:val="Normal"/>
              <w:rPr>
                <w:bCs/>
                <w:sz w:val="20"/>
                <w:szCs w:val="20"/>
              </w:rPr>
            </w:pPr>
            <w:r>
              <w:rPr>
                <w:bCs/>
                <w:sz w:val="20"/>
                <w:szCs w:val="20"/>
              </w:rPr>
            </w:r>
          </w:p>
          <w:p>
            <w:pPr>
              <w:pStyle w:val="Heading2"/>
              <w:rPr>
                <w:bCs/>
                <w:sz w:val="20"/>
                <w:szCs w:val="20"/>
              </w:rPr>
            </w:pPr>
            <w:r>
              <w:rPr>
                <w:i w:val="false"/>
                <w:sz w:val="20"/>
              </w:rPr>
              <w:t>HU03_CA03 – Próxima actuación posterior</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la fecha estimada de la próxima actuación es igual o anterior a la fecha de la actuación,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presiona el botón "Registrar actuación",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sistema muestra el mensaje "Revise las fechas: La próxima actuación debe ser posterior a la fecha de la actuación" y no registra la actuación.</w:t>
            </w:r>
          </w:p>
          <w:p>
            <w:pPr>
              <w:pStyle w:val="Normal"/>
              <w:rPr>
                <w:bCs/>
                <w:sz w:val="20"/>
                <w:szCs w:val="20"/>
              </w:rPr>
            </w:pPr>
            <w:r>
              <w:rPr>
                <w:bCs/>
                <w:sz w:val="20"/>
                <w:szCs w:val="20"/>
              </w:rPr>
            </w:r>
          </w:p>
          <w:p>
            <w:pPr>
              <w:pStyle w:val="Heading2"/>
              <w:rPr>
                <w:bCs/>
                <w:sz w:val="20"/>
                <w:szCs w:val="20"/>
              </w:rPr>
            </w:pPr>
            <w:r>
              <w:rPr>
                <w:i w:val="false"/>
                <w:sz w:val="20"/>
              </w:rPr>
              <w:t>HU03_CA04 – Próxima actuación fuera de la medida</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la fecha estimada de la próxima actuación es posterior a la fecha de fin de la medida,</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diligencia el formulario,</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sistema muestra el aviso de que la próxima actuación queda después del fin de la medida con sus fechas, y sugiere devolver el proceso al despacho origen si no alcanza a finalizarlo.</w:t>
            </w:r>
          </w:p>
          <w:p>
            <w:pPr>
              <w:pStyle w:val="Normal"/>
              <w:rPr>
                <w:bCs/>
                <w:sz w:val="20"/>
                <w:szCs w:val="20"/>
              </w:rPr>
            </w:pPr>
            <w:r>
              <w:rPr>
                <w:bCs/>
                <w:sz w:val="20"/>
                <w:szCs w:val="20"/>
              </w:rPr>
            </w:r>
          </w:p>
          <w:p>
            <w:pPr>
              <w:pStyle w:val="Normal"/>
              <w:rPr>
                <w:b w:val="false"/>
                <w:bCs/>
                <w:sz w:val="18"/>
                <w:szCs w:val="18"/>
              </w:rPr>
            </w:pPr>
            <w:r>
              <w:rPr>
                <w:b w:val="false"/>
                <w:bCs/>
                <w:sz w:val="18"/>
                <w:szCs w:val="18"/>
              </w:rPr>
            </w:r>
          </w:p>
          <w:p>
            <w:pPr>
              <w:pStyle w:val="Heading2"/>
              <w:rPr>
                <w:b w:val="false"/>
                <w:bCs/>
                <w:sz w:val="18"/>
                <w:szCs w:val="18"/>
              </w:rPr>
            </w:pPr>
            <w:r>
              <w:rPr>
                <w:i w:val="false"/>
                <w:sz w:val="18"/>
              </w:rPr>
              <w:t>HU04 – Finalizar un proceso</w:t>
            </w:r>
          </w:p>
          <w:p>
            <w:pPr>
              <w:pStyle w:val="Heading2"/>
              <w:rPr/>
            </w:pPr>
            <w:r>
              <w:rPr/>
            </w:r>
          </w:p>
          <w:p>
            <w:pPr>
              <w:pStyle w:val="Heading2"/>
              <w:rPr>
                <w:b w:val="false"/>
                <w:bCs/>
                <w:sz w:val="20"/>
                <w:szCs w:val="20"/>
              </w:rPr>
            </w:pPr>
            <w:r>
              <w:rPr>
                <w:i w:val="false"/>
                <w:sz w:val="20"/>
              </w:rPr>
              <w:t>Historia de usuario HU04</w:t>
            </w:r>
          </w:p>
          <w:p>
            <w:pPr>
              <w:pStyle w:val="Normal"/>
              <w:rPr/>
            </w:pPr>
            <w:r>
              <w:rPr/>
            </w:r>
          </w:p>
          <w:tbl>
            <w:tblPr>
              <w:tblStyle w:val="Tablaconcuadrcula"/>
              <w:tblW w:w="87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1"/>
              <w:gridCol w:w="7483"/>
            </w:tblGrid>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Yo Como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Administrador del Despacho de Descongestión</w:t>
                  </w:r>
                </w:p>
              </w:tc>
            </w:tr>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Quiero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finalizar un proceso en trámite indicando la forma de terminación</w:t>
                  </w:r>
                </w:p>
              </w:tc>
            </w:tr>
            <w:tr>
              <w:trPr/>
              <w:tc>
                <w:tcPr>
                  <w:tcW w:w="1251" w:type="dxa"/>
                  <w:tcBorders/>
                </w:tcPr>
                <w:p>
                  <w:pPr>
                    <w:pStyle w:val="Normal"/>
                    <w:widowControl/>
                    <w:spacing w:before="0" w:after="0"/>
                    <w:jc w:val="start"/>
                    <w:rPr>
                      <w:i/>
                      <w:color w:val="ADAAAA"/>
                      <w:sz w:val="18"/>
                      <w:lang w:eastAsia="en-US"/>
                    </w:rPr>
                  </w:pPr>
                  <w:r>
                    <w:rPr>
                      <w:rFonts w:eastAsia="Arial" w:cs="Arial"/>
                      <w:b/>
                      <w:bCs/>
                      <w:kern w:val="0"/>
                      <w:sz w:val="20"/>
                      <w:szCs w:val="20"/>
                      <w:lang w:val="es-CO" w:eastAsia="es-MX" w:bidi="ar-SA"/>
                    </w:rPr>
                    <w:t>Para</w:t>
                  </w:r>
                </w:p>
              </w:tc>
              <w:tc>
                <w:tcPr>
                  <w:tcW w:w="7483" w:type="dxa"/>
                  <w:tcBorders/>
                </w:tcPr>
                <w:p>
                  <w:pPr>
                    <w:pStyle w:val="Normal"/>
                    <w:widowControl w:val="false"/>
                    <w:shd w:val="clear" w:color="auto" w:fill="FFFFFF"/>
                    <w:spacing w:before="0" w:after="0"/>
                    <w:jc w:val="start"/>
                    <w:rPr>
                      <w:i/>
                      <w:color w:val="ADAAAA"/>
                      <w:sz w:val="18"/>
                      <w:lang w:eastAsia="en-US"/>
                    </w:rPr>
                  </w:pPr>
                  <w:r>
                    <w:rPr>
                      <w:rFonts w:eastAsia="Arial" w:cs="Arial"/>
                      <w:i w:val="false"/>
                      <w:kern w:val="0"/>
                      <w:sz w:val="18"/>
                      <w:szCs w:val="22"/>
                      <w:lang w:val="es-CO" w:eastAsia="es-MX" w:bidi="ar-SA"/>
                    </w:rPr>
                    <w:t>cerrarlo dentro de la vigencia de la medida e informarlo al despacho origen</w:t>
                  </w:r>
                </w:p>
              </w:tc>
            </w:tr>
          </w:tbl>
          <w:p>
            <w:pPr>
              <w:pStyle w:val="Normal"/>
              <w:shd w:val="clear" w:color="auto" w:fill="FFFFFF"/>
              <w:rPr>
                <w:i/>
                <w:color w:val="ADAAAA"/>
                <w:sz w:val="18"/>
              </w:rPr>
            </w:pPr>
            <w:r>
              <w:rPr>
                <w:i/>
                <w:color w:val="ADAAAA"/>
                <w:sz w:val="18"/>
              </w:rPr>
            </w:r>
          </w:p>
          <w:p>
            <w:pPr>
              <w:pStyle w:val="Heading2"/>
              <w:rPr>
                <w:bCs/>
                <w:sz w:val="20"/>
                <w:szCs w:val="20"/>
              </w:rPr>
            </w:pPr>
            <w:r>
              <w:rPr>
                <w:bCs/>
                <w:sz w:val="20"/>
                <w:szCs w:val="20"/>
              </w:rPr>
              <w:t>Descripción de la HU</w:t>
            </w:r>
          </w:p>
          <w:p>
            <w:pPr>
              <w:pStyle w:val="Normal"/>
              <w:rPr/>
            </w:pPr>
            <w:r>
              <w:rPr/>
            </w:r>
          </w:p>
          <w:p>
            <w:pPr>
              <w:pStyle w:val="TableParagraph"/>
              <w:spacing w:lineRule="auto" w:line="276" w:before="0" w:after="80"/>
              <w:ind w:start="0"/>
              <w:jc w:val="both"/>
              <w:rPr>
                <w:rFonts w:ascii="Arial" w:hAnsi="Arial" w:cs="Arial"/>
                <w:i/>
                <w:color w:val="ADAAAA"/>
                <w:sz w:val="18"/>
              </w:rPr>
            </w:pPr>
            <w:r>
              <w:rPr>
                <w:b/>
                <w:i w:val="false"/>
                <w:sz w:val="18"/>
              </w:rPr>
              <w:t>Descripción:</w:t>
            </w:r>
            <w:r>
              <w:rPr>
                <w:i w:val="false"/>
                <w:sz w:val="18"/>
              </w:rPr>
              <w:t xml:space="preserve"> el botón "Finalizar" de un proceso en trámite abre el modal de actuación en modo finalización al seleccionar el estado "TERMINADO (finalizar proceso)": se exige la forma de terminación, se oculta la fecha de próxima actuación y se avisa que el proceso quedará cerrado y que se notificará solo al administrador del despacho origen.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Entrada: forma de terminación (lista obligatoria: Sentencia ejecutoriada, Conciliación aprobada, Transacción, Desistimiento, Desistimiento tácito, Pago total de la obligación u Otra forma de terminación), fecha de la actuación (obligatoria) y observación de la terminación (opcional, máximo 500 caracteres).</w:t>
            </w:r>
          </w:p>
          <w:p>
            <w:pPr>
              <w:pStyle w:val="TableParagraph"/>
              <w:ind w:start="0"/>
              <w:rPr>
                <w:rFonts w:ascii="Arial" w:hAnsi="Arial" w:cs="Arial"/>
                <w:i/>
                <w:color w:val="ADAAAA"/>
                <w:sz w:val="18"/>
              </w:rPr>
            </w:pPr>
            <w:r>
              <w:rPr>
                <w:rFonts w:cs="Arial" w:ascii="Arial" w:hAnsi="Arial"/>
                <w:i/>
                <w:color w:val="ADAAAA"/>
                <w:sz w:val="18"/>
              </w:rPr>
            </w:r>
          </w:p>
          <w:p>
            <w:pPr>
              <w:pStyle w:val="TableParagraph"/>
              <w:spacing w:lineRule="auto" w:line="276" w:before="0" w:after="80"/>
              <w:ind w:start="0"/>
              <w:jc w:val="both"/>
              <w:rPr>
                <w:rFonts w:ascii="Arial" w:hAnsi="Arial" w:cs="Arial"/>
                <w:i/>
                <w:color w:val="ADAAAA"/>
                <w:sz w:val="18"/>
              </w:rPr>
            </w:pPr>
            <w:r>
              <w:rPr>
                <w:b/>
                <w:i w:val="false"/>
                <w:sz w:val="18"/>
              </w:rPr>
              <w:t>Precondiciones: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El proceso debe estar recibido en la medida y en trámite (no finalizado ni devuelto).</w:t>
            </w:r>
          </w:p>
          <w:p>
            <w:pPr>
              <w:pStyle w:val="TableParagraph"/>
              <w:ind w:start="0"/>
              <w:rPr>
                <w:rFonts w:ascii="Arial" w:hAnsi="Arial" w:cs="Arial"/>
                <w:i/>
                <w:color w:val="ADAAAA"/>
                <w:sz w:val="18"/>
              </w:rPr>
            </w:pPr>
            <w:r>
              <w:rPr>
                <w:rFonts w:cs="Arial" w:ascii="Arial" w:hAnsi="Arial"/>
                <w:i/>
                <w:color w:val="ADAAAA"/>
                <w:sz w:val="18"/>
              </w:rPr>
            </w:r>
          </w:p>
          <w:p>
            <w:pPr>
              <w:pStyle w:val="Normal"/>
              <w:shd w:val="clear" w:color="auto" w:fill="FFFFFF"/>
              <w:rPr>
                <w:i/>
                <w:color w:val="ADAAAA"/>
                <w:sz w:val="18"/>
              </w:rPr>
            </w:pPr>
            <w:r>
              <w:rPr>
                <w:i/>
                <w:color w:val="ADAAAA"/>
                <w:sz w:val="18"/>
              </w:rPr>
            </w:r>
          </w:p>
          <w:p>
            <w:pPr>
              <w:pStyle w:val="Heading2"/>
              <w:rPr>
                <w:b w:val="false"/>
                <w:bCs/>
                <w:sz w:val="20"/>
                <w:szCs w:val="20"/>
              </w:rPr>
            </w:pPr>
            <w:r>
              <w:rPr>
                <w:bCs/>
                <w:sz w:val="20"/>
                <w:szCs w:val="20"/>
              </w:rPr>
              <w:t>Criterios de Aceptación</w:t>
            </w:r>
          </w:p>
          <w:p>
            <w:pPr>
              <w:pStyle w:val="Heading2"/>
              <w:rPr>
                <w:bCs/>
                <w:sz w:val="20"/>
                <w:szCs w:val="20"/>
              </w:rPr>
            </w:pPr>
            <w:r>
              <w:rPr>
                <w:i w:val="false"/>
                <w:sz w:val="20"/>
              </w:rPr>
              <w:t>HU04_CA01 – Modo finalización</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se selecciona el estado "TERMINADO (finalizar proceso)",</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modal cambia a modo finalización,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la forma de terminación pasa a ser obligatoria, se oculta la fecha de la próxima actuación y se muestra el aviso "Al finalizar, el proceso quedará cerrado y no se podrán registrar nuevas actuaciones", indicando que la notificación irá solo al administrador del despacho origen.</w:t>
            </w:r>
          </w:p>
          <w:p>
            <w:pPr>
              <w:pStyle w:val="Normal"/>
              <w:rPr>
                <w:bCs/>
                <w:sz w:val="20"/>
                <w:szCs w:val="20"/>
              </w:rPr>
            </w:pPr>
            <w:r>
              <w:rPr>
                <w:bCs/>
                <w:sz w:val="20"/>
                <w:szCs w:val="20"/>
              </w:rPr>
            </w:r>
          </w:p>
          <w:p>
            <w:pPr>
              <w:pStyle w:val="Heading2"/>
              <w:rPr>
                <w:bCs/>
                <w:sz w:val="20"/>
                <w:szCs w:val="20"/>
              </w:rPr>
            </w:pPr>
            <w:r>
              <w:rPr>
                <w:i w:val="false"/>
                <w:sz w:val="20"/>
              </w:rPr>
              <w:t>HU04_CA02 – Forma de terminación sugerida</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proceso tiene actuaciones registradas,</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se abre la finalización,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sugiere la forma de terminación según el último estado ("Sentencia" o "Liquidación de costas, entrega de títulos, levantamiento de medidas cautelares u oficios" sugiere "Sentencia ejecutoriada"; "Aprueba conciliación" sugiere "Conciliación aprobada"), se sugiere "Sentencia ejecutoriada"; para "Auto que decreta terminación" se solicita indicar la causa de la terminación; el administrador puede cambiar la sugerencia.</w:t>
            </w:r>
          </w:p>
          <w:p>
            <w:pPr>
              <w:pStyle w:val="Normal"/>
              <w:rPr>
                <w:bCs/>
                <w:sz w:val="20"/>
                <w:szCs w:val="20"/>
              </w:rPr>
            </w:pPr>
            <w:r>
              <w:rPr>
                <w:bCs/>
                <w:sz w:val="20"/>
                <w:szCs w:val="20"/>
              </w:rPr>
            </w:r>
          </w:p>
          <w:p>
            <w:pPr>
              <w:pStyle w:val="Heading2"/>
              <w:rPr>
                <w:bCs/>
                <w:sz w:val="20"/>
                <w:szCs w:val="20"/>
              </w:rPr>
            </w:pPr>
            <w:r>
              <w:rPr>
                <w:i w:val="false"/>
                <w:sz w:val="20"/>
              </w:rPr>
              <w:t>HU04_CA03 – Confirmación y cierre</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presiona el botón "Finalizar proceso",</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sistema pide confirmación con el código del proceso, la forma de terminación y la fecha,</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al confirmar, el proceso queda con el estado "TERMINADO – [forma de terminación]", la finalización se registra en su trazabilidad y el proceso deja de admitir nuevas actuaciones (sus botones de gestión desaparecen).</w:t>
            </w:r>
          </w:p>
          <w:p>
            <w:pPr>
              <w:pStyle w:val="Normal"/>
              <w:rPr>
                <w:bCs/>
                <w:sz w:val="20"/>
                <w:szCs w:val="20"/>
              </w:rPr>
            </w:pPr>
            <w:r>
              <w:rPr>
                <w:bCs/>
                <w:sz w:val="20"/>
                <w:szCs w:val="20"/>
              </w:rPr>
            </w:r>
          </w:p>
          <w:p>
            <w:pPr>
              <w:pStyle w:val="Heading2"/>
              <w:rPr>
                <w:bCs/>
                <w:sz w:val="20"/>
                <w:szCs w:val="20"/>
              </w:rPr>
            </w:pPr>
            <w:r>
              <w:rPr>
                <w:i w:val="false"/>
                <w:sz w:val="20"/>
              </w:rPr>
              <w:t>HU04_CA04 – Notificación al despacho origen</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se confirma la finalización del proceso,</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proceso queda cerrado,</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notifica únicamente al administrador del despacho origen de la medida con los datos del proceso y el historial de sus actuaciones (sin correo a demandantes ni demandados) y el sistema muestra el mensaje "Proceso finalizado" indicando el administrador notificado.</w:t>
            </w:r>
          </w:p>
          <w:p>
            <w:pPr>
              <w:pStyle w:val="Normal"/>
              <w:rPr>
                <w:bCs/>
                <w:sz w:val="20"/>
                <w:szCs w:val="20"/>
              </w:rPr>
            </w:pPr>
            <w:r>
              <w:rPr>
                <w:bCs/>
                <w:sz w:val="20"/>
                <w:szCs w:val="20"/>
              </w:rPr>
            </w:r>
          </w:p>
          <w:p>
            <w:pPr>
              <w:pStyle w:val="Normal"/>
              <w:rPr>
                <w:b w:val="false"/>
                <w:bCs/>
                <w:sz w:val="18"/>
                <w:szCs w:val="18"/>
              </w:rPr>
            </w:pPr>
            <w:r>
              <w:rPr>
                <w:b w:val="false"/>
                <w:bCs/>
                <w:sz w:val="18"/>
                <w:szCs w:val="18"/>
              </w:rPr>
            </w:r>
          </w:p>
          <w:p>
            <w:pPr>
              <w:pStyle w:val="Heading2"/>
              <w:rPr>
                <w:b w:val="false"/>
                <w:bCs/>
                <w:sz w:val="18"/>
                <w:szCs w:val="18"/>
              </w:rPr>
            </w:pPr>
            <w:r>
              <w:rPr>
                <w:i w:val="false"/>
                <w:sz w:val="18"/>
              </w:rPr>
              <w:t>HU05 – Devolver un proceso al despacho origen</w:t>
            </w:r>
          </w:p>
          <w:p>
            <w:pPr>
              <w:pStyle w:val="Heading2"/>
              <w:rPr/>
            </w:pPr>
            <w:r>
              <w:rPr/>
            </w:r>
          </w:p>
          <w:p>
            <w:pPr>
              <w:pStyle w:val="Heading2"/>
              <w:rPr>
                <w:b w:val="false"/>
                <w:bCs/>
                <w:sz w:val="20"/>
                <w:szCs w:val="20"/>
              </w:rPr>
            </w:pPr>
            <w:r>
              <w:rPr>
                <w:i w:val="false"/>
                <w:sz w:val="20"/>
              </w:rPr>
              <w:t>Historia de usuario HU05</w:t>
            </w:r>
          </w:p>
          <w:p>
            <w:pPr>
              <w:pStyle w:val="Normal"/>
              <w:rPr/>
            </w:pPr>
            <w:r>
              <w:rPr/>
            </w:r>
          </w:p>
          <w:tbl>
            <w:tblPr>
              <w:tblStyle w:val="Tablaconcuadrcula"/>
              <w:tblW w:w="87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51"/>
              <w:gridCol w:w="7483"/>
            </w:tblGrid>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Yo Como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Administrador del Despacho de Descongestión</w:t>
                  </w:r>
                </w:p>
              </w:tc>
            </w:tr>
            <w:tr>
              <w:trPr/>
              <w:tc>
                <w:tcPr>
                  <w:tcW w:w="1251" w:type="dxa"/>
                  <w:tcBorders/>
                </w:tcPr>
                <w:p>
                  <w:pPr>
                    <w:pStyle w:val="Normal"/>
                    <w:widowControl/>
                    <w:spacing w:before="0" w:after="0"/>
                    <w:jc w:val="start"/>
                    <w:rPr>
                      <w:rFonts w:ascii="Arial" w:hAnsi="Arial" w:eastAsia="Arial" w:cs="Arial"/>
                      <w:kern w:val="0"/>
                      <w:sz w:val="22"/>
                      <w:szCs w:val="22"/>
                      <w:lang w:val="es-CO" w:eastAsia="es-MX" w:bidi="ar-SA"/>
                    </w:rPr>
                  </w:pPr>
                  <w:r>
                    <w:rPr>
                      <w:rFonts w:eastAsia="Arial" w:cs="Arial"/>
                      <w:b/>
                      <w:bCs/>
                      <w:kern w:val="0"/>
                      <w:sz w:val="20"/>
                      <w:szCs w:val="20"/>
                      <w:lang w:val="es-CO" w:eastAsia="es-MX" w:bidi="ar-SA"/>
                    </w:rPr>
                    <w:t xml:space="preserve">Quiero </w:t>
                  </w:r>
                </w:p>
              </w:tc>
              <w:tc>
                <w:tcPr>
                  <w:tcW w:w="7483" w:type="dxa"/>
                  <w:tcBorders/>
                </w:tcPr>
                <w:p>
                  <w:pPr>
                    <w:pStyle w:val="Normal"/>
                    <w:widowControl/>
                    <w:shd w:val="clear" w:color="auto" w:fill="FFFFFF"/>
                    <w:spacing w:before="0" w:after="0"/>
                    <w:jc w:val="start"/>
                    <w:rPr>
                      <w:i/>
                      <w:color w:val="ADAAAA"/>
                      <w:sz w:val="18"/>
                    </w:rPr>
                  </w:pPr>
                  <w:r>
                    <w:rPr>
                      <w:rFonts w:eastAsia="Arial" w:cs="Arial"/>
                      <w:i w:val="false"/>
                      <w:kern w:val="0"/>
                      <w:sz w:val="18"/>
                      <w:szCs w:val="22"/>
                      <w:lang w:val="es-CO" w:eastAsia="es-MX" w:bidi="ar-SA"/>
                    </w:rPr>
                    <w:t>devolver al despacho origen un proceso que no corresponde o que no alcanzo a finalizar</w:t>
                  </w:r>
                </w:p>
              </w:tc>
            </w:tr>
            <w:tr>
              <w:trPr/>
              <w:tc>
                <w:tcPr>
                  <w:tcW w:w="1251" w:type="dxa"/>
                  <w:tcBorders/>
                </w:tcPr>
                <w:p>
                  <w:pPr>
                    <w:pStyle w:val="Normal"/>
                    <w:widowControl/>
                    <w:spacing w:before="0" w:after="0"/>
                    <w:jc w:val="start"/>
                    <w:rPr>
                      <w:i/>
                      <w:color w:val="ADAAAA"/>
                      <w:sz w:val="18"/>
                      <w:lang w:eastAsia="en-US"/>
                    </w:rPr>
                  </w:pPr>
                  <w:r>
                    <w:rPr>
                      <w:rFonts w:eastAsia="Arial" w:cs="Arial"/>
                      <w:b/>
                      <w:bCs/>
                      <w:kern w:val="0"/>
                      <w:sz w:val="20"/>
                      <w:szCs w:val="20"/>
                      <w:lang w:val="es-CO" w:eastAsia="es-MX" w:bidi="ar-SA"/>
                    </w:rPr>
                    <w:t>Para</w:t>
                  </w:r>
                </w:p>
              </w:tc>
              <w:tc>
                <w:tcPr>
                  <w:tcW w:w="7483" w:type="dxa"/>
                  <w:tcBorders/>
                </w:tcPr>
                <w:p>
                  <w:pPr>
                    <w:pStyle w:val="Normal"/>
                    <w:widowControl w:val="false"/>
                    <w:shd w:val="clear" w:color="auto" w:fill="FFFFFF"/>
                    <w:spacing w:before="0" w:after="0"/>
                    <w:jc w:val="start"/>
                    <w:rPr>
                      <w:i/>
                      <w:color w:val="ADAAAA"/>
                      <w:sz w:val="18"/>
                      <w:lang w:eastAsia="en-US"/>
                    </w:rPr>
                  </w:pPr>
                  <w:r>
                    <w:rPr>
                      <w:rFonts w:eastAsia="Arial" w:cs="Arial"/>
                      <w:i w:val="false"/>
                      <w:kern w:val="0"/>
                      <w:sz w:val="18"/>
                      <w:szCs w:val="22"/>
                      <w:lang w:val="es-CO" w:eastAsia="es-MX" w:bidi="ar-SA"/>
                    </w:rPr>
                    <w:t>que el despacho origen recupere la gestión del proceso y quede informado del motivo</w:t>
                  </w:r>
                </w:p>
              </w:tc>
            </w:tr>
          </w:tbl>
          <w:p>
            <w:pPr>
              <w:pStyle w:val="Normal"/>
              <w:shd w:val="clear" w:color="auto" w:fill="FFFFFF"/>
              <w:rPr>
                <w:i/>
                <w:color w:val="ADAAAA"/>
                <w:sz w:val="18"/>
              </w:rPr>
            </w:pPr>
            <w:r>
              <w:rPr>
                <w:i/>
                <w:color w:val="ADAAAA"/>
                <w:sz w:val="18"/>
              </w:rPr>
            </w:r>
          </w:p>
          <w:p>
            <w:pPr>
              <w:pStyle w:val="Heading2"/>
              <w:rPr>
                <w:bCs/>
                <w:sz w:val="20"/>
                <w:szCs w:val="20"/>
              </w:rPr>
            </w:pPr>
            <w:r>
              <w:rPr>
                <w:bCs/>
                <w:sz w:val="20"/>
                <w:szCs w:val="20"/>
              </w:rPr>
              <w:t>Descripción de la HU</w:t>
            </w:r>
          </w:p>
          <w:p>
            <w:pPr>
              <w:pStyle w:val="Normal"/>
              <w:rPr/>
            </w:pPr>
            <w:r>
              <w:rPr/>
            </w:r>
          </w:p>
          <w:p>
            <w:pPr>
              <w:pStyle w:val="TableParagraph"/>
              <w:spacing w:lineRule="auto" w:line="276" w:before="0" w:after="80"/>
              <w:ind w:start="0"/>
              <w:jc w:val="both"/>
              <w:rPr>
                <w:rFonts w:ascii="Arial" w:hAnsi="Arial" w:cs="Arial"/>
                <w:i/>
                <w:color w:val="ADAAAA"/>
                <w:sz w:val="18"/>
              </w:rPr>
            </w:pPr>
            <w:r>
              <w:rPr>
                <w:b/>
                <w:i w:val="false"/>
                <w:sz w:val="18"/>
              </w:rPr>
              <w:t>Descripción:</w:t>
            </w:r>
            <w:r>
              <w:rPr>
                <w:i w:val="false"/>
                <w:sz w:val="18"/>
              </w:rPr>
              <w:t xml:space="preserve"> el botón "Devolver al origen" de un proceso en trámite abre el modal "Devolver proceso al despacho origen" con el resumen del proceso, la selección del motivo y la observación para el despacho origen; se indica el despacho que recibirá el proceso y su administrador (destinatario de la notificación).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Entrada: motivo de la devolución (selección obligatoria de las opciones del catálogo) y observación para el despacho origen (texto, obligatorio, máximo 500 caracteres).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Salida: el proceso queda devuelto, sale de la gestión del despacho destino y se registra en su trazabilidad como "Devuelto al despacho origen – [motivo]".</w:t>
            </w:r>
          </w:p>
          <w:p>
            <w:pPr>
              <w:pStyle w:val="TableParagraph"/>
              <w:ind w:start="0"/>
              <w:rPr>
                <w:rFonts w:ascii="Arial" w:hAnsi="Arial" w:cs="Arial"/>
                <w:i/>
                <w:color w:val="ADAAAA"/>
                <w:sz w:val="18"/>
              </w:rPr>
            </w:pPr>
            <w:r>
              <w:rPr>
                <w:rFonts w:cs="Arial" w:ascii="Arial" w:hAnsi="Arial"/>
                <w:i/>
                <w:color w:val="ADAAAA"/>
                <w:sz w:val="18"/>
              </w:rPr>
            </w:r>
          </w:p>
          <w:p>
            <w:pPr>
              <w:pStyle w:val="TableParagraph"/>
              <w:spacing w:lineRule="auto" w:line="276" w:before="0" w:after="80"/>
              <w:ind w:start="0"/>
              <w:jc w:val="both"/>
              <w:rPr>
                <w:rFonts w:ascii="Arial" w:hAnsi="Arial" w:cs="Arial"/>
                <w:i/>
                <w:color w:val="ADAAAA"/>
                <w:sz w:val="18"/>
              </w:rPr>
            </w:pPr>
            <w:r>
              <w:rPr>
                <w:b/>
                <w:i w:val="false"/>
                <w:sz w:val="18"/>
              </w:rPr>
              <w:t>Precondiciones: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El proceso debe estar recibido en la medida y en trámite (no finalizado ni devuelto).</w:t>
            </w:r>
          </w:p>
          <w:p>
            <w:pPr>
              <w:pStyle w:val="TableParagraph"/>
              <w:ind w:start="0"/>
              <w:rPr>
                <w:rFonts w:ascii="Arial" w:hAnsi="Arial" w:cs="Arial"/>
                <w:i/>
                <w:color w:val="ADAAAA"/>
                <w:sz w:val="18"/>
              </w:rPr>
            </w:pPr>
            <w:r>
              <w:rPr>
                <w:rFonts w:cs="Arial" w:ascii="Arial" w:hAnsi="Arial"/>
                <w:i/>
                <w:color w:val="ADAAAA"/>
                <w:sz w:val="18"/>
              </w:rPr>
            </w:r>
          </w:p>
          <w:p>
            <w:pPr>
              <w:pStyle w:val="Normal"/>
              <w:shd w:val="clear" w:color="auto" w:fill="FFFFFF"/>
              <w:rPr>
                <w:i/>
                <w:color w:val="ADAAAA"/>
                <w:sz w:val="18"/>
              </w:rPr>
            </w:pPr>
            <w:r>
              <w:rPr>
                <w:i/>
                <w:color w:val="ADAAAA"/>
                <w:sz w:val="18"/>
              </w:rPr>
            </w:r>
          </w:p>
          <w:p>
            <w:pPr>
              <w:pStyle w:val="Heading2"/>
              <w:rPr>
                <w:b w:val="false"/>
                <w:bCs/>
                <w:sz w:val="20"/>
                <w:szCs w:val="20"/>
              </w:rPr>
            </w:pPr>
            <w:r>
              <w:rPr>
                <w:bCs/>
                <w:sz w:val="20"/>
                <w:szCs w:val="20"/>
              </w:rPr>
              <w:t>Criterios de Aceptación</w:t>
            </w:r>
          </w:p>
          <w:p>
            <w:pPr>
              <w:pStyle w:val="Heading2"/>
              <w:rPr>
                <w:bCs/>
                <w:sz w:val="20"/>
                <w:szCs w:val="20"/>
              </w:rPr>
            </w:pPr>
            <w:r>
              <w:rPr>
                <w:i w:val="false"/>
                <w:sz w:val="20"/>
              </w:rPr>
              <w:t>HU05_CA01 – Motivo obligatorio</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se abre el modal de devolución,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administrador selecciona el motivo,</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debe elegir obligatoriamente entre las opciones del catálogo: "Error de traslado" (el proceso no corresponde a este despacho por competencia, especialidad o datos incorrectos) o "Finalizó la medida de descongestión" (la medida del proceso terminó y no alcanzó a finalizarse en este despacho).</w:t>
            </w:r>
          </w:p>
          <w:p>
            <w:pPr>
              <w:pStyle w:val="Normal"/>
              <w:rPr>
                <w:bCs/>
                <w:sz w:val="20"/>
                <w:szCs w:val="20"/>
              </w:rPr>
            </w:pPr>
            <w:r>
              <w:rPr>
                <w:bCs/>
                <w:sz w:val="20"/>
                <w:szCs w:val="20"/>
              </w:rPr>
            </w:r>
          </w:p>
          <w:p>
            <w:pPr>
              <w:pStyle w:val="Heading2"/>
              <w:rPr>
                <w:bCs/>
                <w:sz w:val="20"/>
                <w:szCs w:val="20"/>
              </w:rPr>
            </w:pPr>
            <w:r>
              <w:rPr>
                <w:i w:val="false"/>
                <w:sz w:val="20"/>
              </w:rPr>
              <w:t>HU05_CA02 – Observación obligatoria</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omite la observación para el despacho origen,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presiona el botón "Devolver al despacho origen",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sistema no permite continuar porque el campo es obligatorio (máximo 500 caracteres) y solicita explicar brevemente el motivo de la devolución.</w:t>
            </w:r>
          </w:p>
          <w:p>
            <w:pPr>
              <w:pStyle w:val="Normal"/>
              <w:rPr>
                <w:bCs/>
                <w:sz w:val="20"/>
                <w:szCs w:val="20"/>
              </w:rPr>
            </w:pPr>
            <w:r>
              <w:rPr>
                <w:bCs/>
                <w:sz w:val="20"/>
                <w:szCs w:val="20"/>
              </w:rPr>
            </w:r>
          </w:p>
          <w:p>
            <w:pPr>
              <w:pStyle w:val="Heading2"/>
              <w:rPr>
                <w:bCs/>
                <w:sz w:val="20"/>
                <w:szCs w:val="20"/>
              </w:rPr>
            </w:pPr>
            <w:r>
              <w:rPr>
                <w:i w:val="false"/>
                <w:sz w:val="20"/>
              </w:rPr>
              <w:t>HU05_CA03 – Confirmación y devolución</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el administrador diligencia motivo y observación,</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presiona el botón "Devolver al despacho origen" y confirma el diálogo "¿Devolver el proceso?",</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el proceso queda con el estado "Devuelto al despacho origen – [motivo]" con la fecha de la devolución, se registra en su trazabilidad, sale de la gestión del despacho destino y deja de admitir nuevas actuaciones.</w:t>
            </w:r>
          </w:p>
          <w:p>
            <w:pPr>
              <w:pStyle w:val="Normal"/>
              <w:rPr>
                <w:bCs/>
                <w:sz w:val="20"/>
                <w:szCs w:val="20"/>
              </w:rPr>
            </w:pPr>
            <w:r>
              <w:rPr>
                <w:bCs/>
                <w:sz w:val="20"/>
                <w:szCs w:val="20"/>
              </w:rPr>
            </w:r>
          </w:p>
          <w:p>
            <w:pPr>
              <w:pStyle w:val="Heading2"/>
              <w:rPr>
                <w:bCs/>
                <w:sz w:val="20"/>
                <w:szCs w:val="20"/>
              </w:rPr>
            </w:pPr>
            <w:r>
              <w:rPr>
                <w:i w:val="false"/>
                <w:sz w:val="20"/>
              </w:rPr>
              <w:t>HU05_CA04 – Notificación al despacho origen</w:t>
            </w:r>
          </w:p>
          <w:p>
            <w:pPr>
              <w:pStyle w:val="TableParagraph"/>
              <w:spacing w:lineRule="auto" w:line="276" w:before="0" w:after="80"/>
              <w:ind w:start="0"/>
              <w:jc w:val="both"/>
              <w:rPr>
                <w:rFonts w:ascii="Arial" w:hAnsi="Arial" w:cs="Arial"/>
                <w:i/>
                <w:color w:val="ADAAAA"/>
                <w:sz w:val="18"/>
              </w:rPr>
            </w:pPr>
            <w:r>
              <w:rPr>
                <w:b/>
                <w:i w:val="false"/>
                <w:sz w:val="18"/>
              </w:rPr>
              <w:t>Dado</w:t>
            </w:r>
            <w:r>
              <w:rPr>
                <w:i w:val="false"/>
                <w:sz w:val="18"/>
              </w:rPr>
              <w:t xml:space="preserve"> que se confirma la devolución del proceso,</w:t>
            </w:r>
          </w:p>
          <w:p>
            <w:pPr>
              <w:pStyle w:val="TableParagraph"/>
              <w:spacing w:lineRule="auto" w:line="276" w:before="0" w:after="80"/>
              <w:ind w:start="0"/>
              <w:jc w:val="both"/>
              <w:rPr>
                <w:rFonts w:ascii="Arial" w:hAnsi="Arial" w:cs="Arial"/>
                <w:i/>
                <w:color w:val="ADAAAA"/>
                <w:sz w:val="18"/>
              </w:rPr>
            </w:pPr>
            <w:r>
              <w:rPr>
                <w:b/>
                <w:i w:val="false"/>
                <w:sz w:val="18"/>
              </w:rPr>
              <w:t>Cuando</w:t>
            </w:r>
            <w:r>
              <w:rPr>
                <w:i w:val="false"/>
                <w:sz w:val="18"/>
              </w:rPr>
              <w:t xml:space="preserve"> el proceso regresa al despacho origen,</w:t>
            </w:r>
          </w:p>
          <w:p>
            <w:pPr>
              <w:pStyle w:val="TableParagraph"/>
              <w:spacing w:lineRule="auto" w:line="276" w:before="0" w:after="80"/>
              <w:ind w:start="0"/>
              <w:jc w:val="both"/>
              <w:rPr>
                <w:rFonts w:ascii="Arial" w:hAnsi="Arial" w:cs="Arial"/>
                <w:i/>
                <w:color w:val="ADAAAA"/>
                <w:sz w:val="18"/>
              </w:rPr>
            </w:pPr>
            <w:r>
              <w:rPr>
                <w:b/>
                <w:i w:val="false"/>
                <w:sz w:val="18"/>
              </w:rPr>
              <w:t>Entonces</w:t>
            </w:r>
            <w:r>
              <w:rPr>
                <w:i w:val="false"/>
                <w:sz w:val="18"/>
              </w:rPr>
              <w:t xml:space="preserve"> se notifica únicamente al administrador del despacho origen con el motivo y su descripción, la observación, el estado procesal al momento de devolver, la última actuación y el historial de actuaciones registradas en el despacho destino, y el sistema muestra el mensaje "Proceso devuelto" indicando el administrador notificado.</w:t>
            </w:r>
          </w:p>
          <w:p>
            <w:pPr>
              <w:pStyle w:val="Normal"/>
              <w:rPr>
                <w:bCs/>
                <w:sz w:val="20"/>
                <w:szCs w:val="20"/>
              </w:rPr>
            </w:pPr>
            <w:r>
              <w:rPr>
                <w:bCs/>
                <w:sz w:val="20"/>
                <w:szCs w:val="20"/>
              </w:rPr>
            </w:r>
          </w:p>
          <w:p>
            <w:pPr>
              <w:pStyle w:val="Heading2"/>
              <w:rPr>
                <w:bCs/>
                <w:sz w:val="20"/>
                <w:szCs w:val="20"/>
              </w:rPr>
            </w:pPr>
            <w:r>
              <w:rPr>
                <w:bCs/>
                <w:sz w:val="20"/>
                <w:szCs w:val="20"/>
              </w:rPr>
              <w:t>Requerimientos No funcionales</w:t>
            </w:r>
          </w:p>
          <w:p>
            <w:pPr>
              <w:pStyle w:val="Normal"/>
              <w:rPr/>
            </w:pPr>
            <w:r>
              <w:rPr/>
            </w:r>
          </w:p>
          <w:p>
            <w:pPr>
              <w:pStyle w:val="TableParagraph"/>
              <w:spacing w:lineRule="auto" w:line="276" w:before="0" w:after="80"/>
              <w:ind w:start="0"/>
              <w:jc w:val="both"/>
              <w:rPr>
                <w:rFonts w:ascii="Arial" w:hAnsi="Arial" w:cs="Arial"/>
                <w:i/>
                <w:color w:val="ADAAAA"/>
                <w:sz w:val="18"/>
              </w:rPr>
            </w:pPr>
            <w:r>
              <w:rPr>
                <w:i w:val="false"/>
                <w:sz w:val="18"/>
              </w:rPr>
              <w:t>Se anexa la lista de chequeo GTI-TIC-FM-029 Criterios no funcionales de los sistemas de información.</w:t>
            </w:r>
            <w:bookmarkEnd w:id="0"/>
          </w:p>
          <w:p>
            <w:pPr>
              <w:pStyle w:val="Normal"/>
              <w:rPr>
                <w:rFonts w:ascii="Heebo" w:hAnsi="Heebo" w:cs="Heebo"/>
              </w:rPr>
            </w:pPr>
            <w:r>
              <w:rPr>
                <w:rFonts w:cs="Heebo" w:ascii="Heebo" w:hAnsi="Heebo"/>
              </w:rPr>
            </w:r>
          </w:p>
          <w:p>
            <w:pPr>
              <w:pStyle w:val="Normal"/>
              <w:rPr>
                <w:b/>
                <w:bCs/>
                <w:color w:val="000000"/>
                <w:sz w:val="20"/>
                <w:szCs w:val="20"/>
              </w:rPr>
            </w:pPr>
            <w:r>
              <w:rPr>
                <w:b/>
                <w:bCs/>
                <w:color w:val="000000"/>
                <w:sz w:val="20"/>
                <w:szCs w:val="20"/>
              </w:rPr>
            </w:r>
          </w:p>
          <w:p>
            <w:pPr>
              <w:pStyle w:val="TableParagraph"/>
              <w:spacing w:lineRule="auto" w:line="276" w:before="0" w:after="80"/>
              <w:ind w:start="0"/>
              <w:jc w:val="center"/>
              <w:rPr>
                <w:rFonts w:ascii="Arial" w:hAnsi="Arial" w:cs="Arial"/>
                <w:i/>
                <w:color w:val="ADAAAA"/>
                <w:sz w:val="18"/>
              </w:rPr>
            </w:pPr>
            <w:r>
              <w:rPr>
                <w:i w:val="false"/>
                <w:sz w:val="18"/>
              </w:rPr>
              <w:t>Captura general - Pantalla de Recepción y Seguimiento de Procesos del despacho destino</w:t>
            </w:r>
          </w:p>
          <w:p>
            <w:pPr>
              <w:pStyle w:val="Normal"/>
              <w:spacing w:before="80" w:after="80"/>
              <w:jc w:val="center"/>
              <w:rPr/>
            </w:pPr>
            <w:r>
              <w:rPr/>
              <w:drawing>
                <wp:inline distT="0" distB="0" distL="0" distR="0">
                  <wp:extent cx="2743200" cy="164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743200" cy="1645920"/>
                          </a:xfrm>
                          <a:prstGeom prst="rect">
                            <a:avLst/>
                          </a:prstGeom>
                          <a:noFill/>
                        </pic:spPr>
                      </pic:pic>
                    </a:graphicData>
                  </a:graphic>
                </wp:inline>
              </w:drawing>
            </w:r>
          </w:p>
          <w:p>
            <w:pPr>
              <w:pStyle w:val="TableParagraph"/>
              <w:spacing w:lineRule="auto" w:line="276" w:before="0" w:after="80"/>
              <w:ind w:start="0"/>
              <w:jc w:val="center"/>
              <w:rPr>
                <w:rFonts w:ascii="Arial" w:hAnsi="Arial" w:cs="Arial"/>
                <w:i/>
                <w:color w:val="ADAAAA"/>
                <w:sz w:val="18"/>
              </w:rPr>
            </w:pPr>
            <w:r>
              <w:rPr>
                <w:i w:val="false"/>
                <w:sz w:val="18"/>
              </w:rPr>
              <w:t>Captura general - Identificación del despacho destino y Consejo Seccional que supervisa</w:t>
            </w:r>
          </w:p>
          <w:p>
            <w:pPr>
              <w:pStyle w:val="Normal"/>
              <w:spacing w:before="80" w:after="80"/>
              <w:jc w:val="center"/>
              <w:rPr/>
            </w:pPr>
            <w:r>
              <w:rPr/>
              <w:drawing>
                <wp:inline distT="0" distB="0" distL="0" distR="0">
                  <wp:extent cx="2743200" cy="292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743200" cy="292735"/>
                          </a:xfrm>
                          <a:prstGeom prst="rect">
                            <a:avLst/>
                          </a:prstGeom>
                          <a:noFill/>
                        </pic:spPr>
                      </pic:pic>
                    </a:graphicData>
                  </a:graphic>
                </wp:inline>
              </w:drawing>
            </w:r>
          </w:p>
        </w:tc>
      </w:tr>
      <w:tr>
        <w:trPr>
          <w:trHeight w:val="421" w:hRule="atLeast"/>
        </w:trPr>
        <w:tc>
          <w:tcPr>
            <w:tcW w:w="290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b/>
                <w:bCs/>
                <w:color w:themeColor="text1" w:val="000000"/>
                <w:sz w:val="20"/>
                <w:szCs w:val="20"/>
              </w:rPr>
              <w:t xml:space="preserve">NÚMERO/CANTIDAD DE USUARIOS POTENCIALES: </w:t>
            </w:r>
          </w:p>
        </w:tc>
        <w:tc>
          <w:tcPr>
            <w:tcW w:w="6731" w:type="dxa"/>
            <w:gridSpan w:val="4"/>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themeColor="text1" w:val="000000"/>
                <w:sz w:val="20"/>
                <w:szCs w:val="20"/>
              </w:rPr>
            </w:pPr>
            <w:r>
              <w:rPr>
                <w:i w:val="false"/>
                <w:sz w:val="18"/>
              </w:rPr>
              <w:t>Por definir</w:t>
            </w:r>
          </w:p>
        </w:tc>
      </w:tr>
      <w:tr>
        <w:trPr>
          <w:trHeight w:val="421"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FFFFFF" w:themeFill="background1" w:val="clear"/>
            <w:tcMar>
              <w:top w:w="40" w:type="dxa"/>
              <w:start w:w="108" w:type="dxa"/>
              <w:bottom w:w="40" w:type="dxa"/>
              <w:end w:w="108" w:type="dxa"/>
            </w:tcMar>
          </w:tcPr>
          <w:p>
            <w:pPr>
              <w:pStyle w:val="Normal"/>
              <w:rPr>
                <w:b/>
                <w:bCs/>
                <w:color w:themeColor="text1" w:val="000000"/>
                <w:sz w:val="20"/>
                <w:szCs w:val="20"/>
              </w:rPr>
            </w:pPr>
            <w:r>
              <w:rPr>
                <w:b/>
                <w:bCs/>
                <w:color w:themeColor="text1" w:val="000000"/>
                <w:sz w:val="20"/>
                <w:szCs w:val="20"/>
              </w:rPr>
              <w:t xml:space="preserve">IDENTIFICACIÓN DE LOS USUARIOS POTENCIALES: </w:t>
            </w:r>
          </w:p>
          <w:p>
            <w:pPr>
              <w:pStyle w:val="Normal"/>
              <w:rPr>
                <w:b/>
                <w:bCs/>
                <w:color w:themeColor="text1" w:val="000000"/>
                <w:sz w:val="20"/>
                <w:szCs w:val="20"/>
              </w:rPr>
            </w:pPr>
            <w:r>
              <w:rPr>
                <w:b/>
                <w:bCs/>
                <w:color w:themeColor="text1" w:val="000000"/>
                <w:sz w:val="20"/>
                <w:szCs w:val="20"/>
              </w:rPr>
            </w:r>
          </w:p>
          <w:p>
            <w:pPr>
              <w:pStyle w:val="ListParagraph"/>
              <w:numPr>
                <w:ilvl w:val="0"/>
                <w:numId w:val="1"/>
              </w:numPr>
              <w:shd w:val="clear" w:color="auto" w:fill="FFFFFF"/>
              <w:spacing w:lineRule="auto" w:line="276" w:before="0" w:after="80"/>
              <w:contextualSpacing w:val="false"/>
              <w:jc w:val="start"/>
              <w:rPr>
                <w:i/>
                <w:color w:val="ADAAAA"/>
                <w:sz w:val="18"/>
              </w:rPr>
            </w:pPr>
            <w:r>
              <w:rPr>
                <w:b/>
                <w:i w:val="false"/>
                <w:sz w:val="18"/>
              </w:rPr>
              <w:t>Administrador del Despacho de Descongestión (despacho destino):</w:t>
            </w:r>
            <w:r>
              <w:rPr>
                <w:i w:val="false"/>
                <w:sz w:val="18"/>
              </w:rPr>
              <w:t xml:space="preserve"> Administrador del Despacho, único autorizado en la medida; recibe los procesos enviados por el despacho origen, consulta su detalle y trazabilidad, registra las actuaciones con la próxima actuación estimada, y finaliza o devuelve los procesos. Uso diario durante la vigencia de la medida.</w:t>
            </w:r>
          </w:p>
          <w:p>
            <w:pPr>
              <w:pStyle w:val="ListParagraph"/>
              <w:numPr>
                <w:ilvl w:val="0"/>
                <w:numId w:val="1"/>
              </w:numPr>
              <w:shd w:val="clear" w:color="auto" w:fill="FFFFFF"/>
              <w:spacing w:lineRule="auto" w:line="276" w:before="0" w:after="80"/>
              <w:contextualSpacing w:val="false"/>
              <w:jc w:val="start"/>
              <w:rPr>
                <w:i/>
                <w:color w:val="ADAAAA"/>
                <w:sz w:val="18"/>
              </w:rPr>
            </w:pPr>
            <w:r>
              <w:rPr>
                <w:b/>
                <w:i w:val="false"/>
                <w:sz w:val="18"/>
              </w:rPr>
              <w:t>Administrador del Despacho Origen:</w:t>
            </w:r>
            <w:r>
              <w:rPr>
                <w:i w:val="false"/>
                <w:sz w:val="18"/>
              </w:rPr>
              <w:t xml:space="preserve"> envía los procesos al despacho de descongestión dentro de la medida y recibe las notificaciones de finalización y devolución de sus procesos. No gestiona procesos en esta pantalla.</w:t>
            </w:r>
          </w:p>
          <w:p>
            <w:pPr>
              <w:pStyle w:val="Normal"/>
              <w:rPr>
                <w:b/>
                <w:bCs/>
                <w:color w:themeColor="text1" w:val="000000"/>
                <w:sz w:val="20"/>
                <w:szCs w:val="20"/>
              </w:rPr>
            </w:pPr>
            <w:r>
              <w:rPr>
                <w:b/>
                <w:bCs/>
                <w:color w:themeColor="text1" w:val="000000"/>
                <w:sz w:val="20"/>
                <w:szCs w:val="20"/>
              </w:rPr>
            </w:r>
          </w:p>
        </w:tc>
      </w:tr>
      <w:tr>
        <w:trPr>
          <w:trHeight w:val="56" w:hRule="atLeast"/>
        </w:trPr>
        <w:tc>
          <w:tcPr>
            <w:tcW w:w="2900" w:type="dxa"/>
            <w:vMerge w:val="restart"/>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b/>
                <w:bCs/>
                <w:color w:val="000000"/>
                <w:sz w:val="20"/>
                <w:szCs w:val="20"/>
              </w:rPr>
            </w:pPr>
            <w:r>
              <w:rPr>
                <w:b/>
                <w:bCs/>
                <w:color w:themeColor="text1" w:val="000000"/>
                <w:sz w:val="20"/>
                <w:szCs w:val="20"/>
              </w:rPr>
              <w:t>FRECUENCIA DE USO ESPERADA DEL SISTEMA Y/O DESARROLLO SOLICITADO:</w:t>
            </w:r>
          </w:p>
          <w:p>
            <w:pPr>
              <w:pStyle w:val="Normal"/>
              <w:spacing w:lineRule="auto" w:line="259"/>
              <w:rPr>
                <w:sz w:val="20"/>
                <w:szCs w:val="20"/>
              </w:rPr>
            </w:pPr>
            <w:r>
              <w:rPr>
                <w:sz w:val="20"/>
                <w:szCs w:val="20"/>
              </w:rPr>
            </w:r>
          </w:p>
          <w:p>
            <w:pPr>
              <w:pStyle w:val="Normal"/>
              <w:spacing w:lineRule="auto" w:line="259"/>
              <w:rPr>
                <w:sz w:val="20"/>
                <w:szCs w:val="20"/>
              </w:rPr>
            </w:pPr>
            <w:r>
              <w:rPr>
                <w:sz w:val="20"/>
                <w:szCs w:val="20"/>
              </w:rPr>
            </w:r>
          </w:p>
        </w:tc>
        <w:tc>
          <w:tcPr>
            <w:tcW w:w="6731" w:type="dxa"/>
            <w:gridSpan w:val="4"/>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center"/>
              <w:rPr>
                <w:b/>
                <w:bCs/>
                <w:color w:val="000000"/>
                <w:sz w:val="20"/>
                <w:szCs w:val="20"/>
              </w:rPr>
            </w:pPr>
            <w:r>
              <w:rPr>
                <w:b/>
                <w:bCs/>
                <w:color w:val="000000"/>
                <w:sz w:val="20"/>
                <w:szCs w:val="20"/>
              </w:rPr>
              <w:t>MARQUE CON UNA X LA OPCIÓN SELECCIONADA</w:t>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sz w:val="20"/>
                <w:szCs w:val="20"/>
              </w:rPr>
              <w:t>Frecuente (Diario)</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center"/>
              <w:rPr>
                <w:b/>
                <w:bCs/>
                <w:color w:val="000000"/>
                <w:sz w:val="20"/>
                <w:szCs w:val="20"/>
              </w:rPr>
            </w:pPr>
            <w:r>
              <w:rPr>
                <w:b/>
                <w:i w:val="false"/>
                <w:sz w:val="20"/>
              </w:rPr>
              <w:t>X</w:t>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sz w:val="20"/>
                <w:szCs w:val="20"/>
              </w:rPr>
              <w:t>Ocasional (1 a 5 veces a la semana)</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center"/>
              <w:rPr>
                <w:color w:val="000000"/>
                <w:sz w:val="20"/>
                <w:szCs w:val="20"/>
              </w:rPr>
            </w:pPr>
            <w:r>
              <w:rPr>
                <w:color w:val="000000"/>
                <w:sz w:val="20"/>
                <w:szCs w:val="20"/>
              </w:rPr>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sz w:val="20"/>
                <w:szCs w:val="20"/>
              </w:rPr>
              <w:t xml:space="preserve">Con frecuencia definida (Mensual, semestral o anual)  </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center"/>
              <w:rPr>
                <w:color w:val="000000"/>
                <w:sz w:val="20"/>
                <w:szCs w:val="20"/>
              </w:rPr>
            </w:pPr>
            <w:r>
              <w:rPr>
                <w:color w:val="000000"/>
                <w:sz w:val="20"/>
                <w:szCs w:val="20"/>
              </w:rPr>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sz w:val="20"/>
                <w:szCs w:val="20"/>
              </w:rPr>
              <w:t>A solicitud (solo cuando existan cambios)</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b/>
                <w:bCs/>
                <w:color w:val="000000"/>
                <w:sz w:val="20"/>
                <w:szCs w:val="20"/>
              </w:rPr>
            </w:pPr>
            <w:r>
              <w:rPr>
                <w:b/>
                <w:bCs/>
                <w:color w:val="000000"/>
                <w:sz w:val="20"/>
                <w:szCs w:val="20"/>
              </w:rPr>
            </w:r>
          </w:p>
        </w:tc>
      </w:tr>
      <w:tr>
        <w:trPr>
          <w:trHeight w:val="56" w:hRule="atLeast"/>
        </w:trPr>
        <w:tc>
          <w:tcPr>
            <w:tcW w:w="2900" w:type="dxa"/>
            <w:vMerge w:val="restart"/>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b/>
                <w:bCs/>
                <w:color w:val="000000"/>
                <w:sz w:val="20"/>
                <w:szCs w:val="20"/>
              </w:rPr>
            </w:pPr>
            <w:r>
              <w:rPr>
                <w:b/>
                <w:bCs/>
                <w:color w:val="000000"/>
                <w:sz w:val="20"/>
                <w:szCs w:val="20"/>
              </w:rPr>
              <w:t>TIPO DE ACCESO:</w:t>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szCs w:val="20"/>
              </w:rPr>
            </w:pPr>
            <w:r>
              <w:rPr>
                <w:sz w:val="20"/>
                <w:szCs w:val="20"/>
              </w:rPr>
              <w:t>WEB</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59"/>
              <w:jc w:val="center"/>
              <w:rPr/>
            </w:pPr>
            <w:r>
              <w:rPr>
                <w:i w:val="false"/>
                <w:sz w:val="20"/>
              </w:rPr>
              <w:t>Sí</w:t>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szCs w:val="20"/>
              </w:rPr>
            </w:pPr>
            <w:r>
              <w:rPr>
                <w:sz w:val="20"/>
                <w:szCs w:val="20"/>
              </w:rPr>
              <w:t>Externo</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spacing w:lineRule="auto" w:line="259"/>
              <w:jc w:val="center"/>
              <w:rPr>
                <w:sz w:val="20"/>
                <w:szCs w:val="20"/>
              </w:rPr>
            </w:pPr>
            <w:r>
              <w:rPr>
                <w:i w:val="false"/>
                <w:sz w:val="20"/>
              </w:rPr>
              <w:t>No</w:t>
            </w:r>
          </w:p>
        </w:tc>
      </w:tr>
      <w:tr>
        <w:trPr>
          <w:trHeight w:val="56" w:hRule="atLeast"/>
        </w:trPr>
        <w:tc>
          <w:tcPr>
            <w:tcW w:w="2900" w:type="dxa"/>
            <w:vMerge w:val="continue"/>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val="000000"/>
                <w:sz w:val="20"/>
                <w:szCs w:val="20"/>
              </w:rPr>
            </w:r>
          </w:p>
        </w:tc>
        <w:tc>
          <w:tcPr>
            <w:tcW w:w="5149" w:type="dxa"/>
            <w:gridSpan w:val="3"/>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sz w:val="20"/>
                <w:szCs w:val="20"/>
              </w:rPr>
            </w:pPr>
            <w:r>
              <w:rPr>
                <w:sz w:val="20"/>
                <w:szCs w:val="20"/>
              </w:rPr>
              <w:t>Escritorio Interno</w:t>
            </w:r>
          </w:p>
        </w:tc>
        <w:tc>
          <w:tcPr>
            <w:tcW w:w="15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jc w:val="center"/>
              <w:rPr>
                <w:sz w:val="20"/>
                <w:szCs w:val="20"/>
              </w:rPr>
            </w:pPr>
            <w:r>
              <w:rPr>
                <w:i w:val="false"/>
                <w:sz w:val="20"/>
              </w:rPr>
              <w:t>No</w:t>
            </w:r>
          </w:p>
        </w:tc>
      </w:tr>
      <w:tr>
        <w:trPr>
          <w:trHeight w:val="56"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FFFFFF" w:themeFill="background1" w:val="clear"/>
            <w:tcMar>
              <w:top w:w="40" w:type="dxa"/>
              <w:start w:w="108" w:type="dxa"/>
              <w:bottom w:w="40" w:type="dxa"/>
              <w:end w:w="108" w:type="dxa"/>
            </w:tcMar>
          </w:tcPr>
          <w:p>
            <w:pPr>
              <w:pStyle w:val="Normal"/>
              <w:rPr>
                <w:sz w:val="20"/>
                <w:szCs w:val="20"/>
              </w:rPr>
            </w:pPr>
            <w:r>
              <w:rPr>
                <w:b/>
                <w:bCs/>
                <w:sz w:val="20"/>
                <w:szCs w:val="20"/>
              </w:rPr>
              <w:t>ÁREAS INVOLUCRADAS:</w:t>
            </w:r>
            <w:r>
              <w:rPr>
                <w:sz w:val="20"/>
                <w:szCs w:val="20"/>
              </w:rPr>
              <w:t xml:space="preserve">  </w:t>
            </w:r>
          </w:p>
          <w:p>
            <w:pPr>
              <w:pStyle w:val="Normal"/>
              <w:rPr>
                <w:sz w:val="20"/>
                <w:szCs w:val="20"/>
              </w:rPr>
            </w:pPr>
            <w:r>
              <w:rPr>
                <w:sz w:val="20"/>
                <w:szCs w:val="20"/>
              </w:rPr>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Despacho de descongestión (despacho destino de la medida).</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Despachos origen de la medida.</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Consejo Seccional que supervisa la medida.</w:t>
            </w:r>
          </w:p>
          <w:p>
            <w:pPr>
              <w:pStyle w:val="Normal"/>
              <w:rPr>
                <w:sz w:val="20"/>
                <w:szCs w:val="20"/>
              </w:rPr>
            </w:pPr>
            <w:r>
              <w:rPr>
                <w:sz w:val="20"/>
                <w:szCs w:val="20"/>
              </w:rPr>
            </w:r>
          </w:p>
        </w:tc>
      </w:tr>
      <w:tr>
        <w:trPr>
          <w:trHeight w:val="56"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FFFFFF" w:themeFill="background1" w:val="clear"/>
            <w:tcMar>
              <w:top w:w="40" w:type="dxa"/>
              <w:start w:w="108" w:type="dxa"/>
              <w:bottom w:w="40" w:type="dxa"/>
              <w:end w:w="108" w:type="dxa"/>
            </w:tcMar>
          </w:tcPr>
          <w:p>
            <w:pPr>
              <w:pStyle w:val="Normal"/>
              <w:rPr>
                <w:b/>
                <w:bCs/>
                <w:sz w:val="20"/>
                <w:szCs w:val="20"/>
              </w:rPr>
            </w:pPr>
            <w:r>
              <w:rPr>
                <w:b/>
                <w:bCs/>
                <w:sz w:val="20"/>
                <w:szCs w:val="20"/>
              </w:rPr>
              <w:t xml:space="preserve">Observaciones adicionales </w:t>
            </w:r>
          </w:p>
          <w:p>
            <w:pPr>
              <w:pStyle w:val="Normal"/>
              <w:rPr>
                <w:b/>
                <w:bCs/>
                <w:sz w:val="20"/>
                <w:szCs w:val="20"/>
              </w:rPr>
            </w:pPr>
            <w:r>
              <w:rPr>
                <w:b/>
                <w:bCs/>
                <w:sz w:val="20"/>
                <w:szCs w:val="20"/>
              </w:rPr>
            </w:r>
          </w:p>
          <w:p>
            <w:pPr>
              <w:pStyle w:val="TableParagraph"/>
              <w:spacing w:lineRule="auto" w:line="276" w:before="0" w:after="80"/>
              <w:ind w:start="0"/>
              <w:jc w:val="both"/>
              <w:rPr>
                <w:rFonts w:ascii="Arial" w:hAnsi="Arial" w:cs="Arial"/>
                <w:i/>
                <w:color w:val="ADAAAA"/>
                <w:sz w:val="18"/>
              </w:rPr>
            </w:pPr>
            <w:r>
              <w:rPr>
                <w:b/>
                <w:i w:val="false"/>
                <w:sz w:val="18"/>
              </w:rPr>
              <w:t>Preguntas abiertas:</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¿Qué debe ocurrir con los procesos en trámite cuando finaliza la vigencia de la medida? El prototipo sugiere devolverlos al despacho origen.</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 xml:space="preserve">¿El umbral de 7 días para marcar la próxima actuación como "por vencer" es fijo o parametrizable? </w:t>
            </w:r>
            <w:r>
              <w:rPr>
                <w:i w:val="false"/>
                <w:sz w:val="18"/>
              </w:rPr>
              <w:t>Debe ser fijo</w:t>
            </w:r>
          </w:p>
          <w:p>
            <w:pPr>
              <w:pStyle w:val="ListParagraph"/>
              <w:numPr>
                <w:ilvl w:val="0"/>
                <w:numId w:val="1"/>
              </w:numPr>
              <w:shd w:val="clear" w:color="auto" w:fill="FFFFFF"/>
              <w:spacing w:lineRule="auto" w:line="276" w:before="0" w:after="80"/>
              <w:contextualSpacing w:val="false"/>
              <w:jc w:val="start"/>
              <w:rPr>
                <w:i/>
                <w:color w:val="ADAAAA"/>
                <w:sz w:val="18"/>
              </w:rPr>
            </w:pPr>
            <w:r>
              <w:rPr>
                <w:i w:val="false"/>
                <w:sz w:val="18"/>
              </w:rPr>
              <w:t xml:space="preserve">¿El Consejo Seccional que supervisa la medida debe recibir reportes del avance de los procesos? </w:t>
            </w:r>
            <w:r>
              <w:rPr>
                <w:i w:val="false"/>
                <w:sz w:val="18"/>
              </w:rPr>
              <w:t>El cuenta con una interfaz donde podra ver la trazabilidad de las medidas y de los procesos</w:t>
            </w:r>
          </w:p>
        </w:tc>
      </w:tr>
      <w:tr>
        <w:trPr>
          <w:trHeight w:val="418" w:hRule="atLeast"/>
        </w:trPr>
        <w:tc>
          <w:tcPr>
            <w:tcW w:w="9631" w:type="dxa"/>
            <w:gridSpan w:val="5"/>
            <w:tcBorders>
              <w:top w:val="single" w:sz="4" w:space="0" w:color="000000"/>
              <w:start w:val="single" w:sz="4" w:space="0" w:color="000000"/>
              <w:bottom w:val="single" w:sz="4" w:space="0" w:color="000000"/>
              <w:end w:val="single" w:sz="4" w:space="0" w:color="000000"/>
            </w:tcBorders>
            <w:shd w:color="auto" w:fill="E2EFD9" w:themeFill="accent6" w:themeFillTint="33" w:val="clear"/>
            <w:vAlign w:val="center"/>
          </w:tcPr>
          <w:p>
            <w:pPr>
              <w:pStyle w:val="Normal"/>
              <w:tabs>
                <w:tab w:val="clear" w:pos="720"/>
                <w:tab w:val="left" w:pos="7125" w:leader="none"/>
              </w:tabs>
              <w:jc w:val="center"/>
              <w:rPr>
                <w:b/>
                <w:bCs/>
                <w:sz w:val="20"/>
                <w:szCs w:val="20"/>
              </w:rPr>
            </w:pPr>
            <w:r>
              <w:rPr>
                <w:b/>
                <w:sz w:val="20"/>
              </w:rPr>
              <w:t>Aprobación</w:t>
            </w:r>
            <w:r>
              <w:rPr>
                <w:b/>
                <w:spacing w:val="-2"/>
                <w:sz w:val="20"/>
              </w:rPr>
              <w:t xml:space="preserve"> </w:t>
            </w:r>
            <w:r>
              <w:rPr>
                <w:b/>
                <w:sz w:val="20"/>
              </w:rPr>
              <w:t>solicitud</w:t>
            </w:r>
            <w:r>
              <w:rPr>
                <w:b/>
                <w:spacing w:val="-1"/>
                <w:sz w:val="20"/>
              </w:rPr>
              <w:t xml:space="preserve"> </w:t>
            </w:r>
            <w:r>
              <w:rPr>
                <w:b/>
                <w:sz w:val="20"/>
              </w:rPr>
              <w:t>del</w:t>
            </w:r>
            <w:r>
              <w:rPr>
                <w:b/>
                <w:spacing w:val="-3"/>
                <w:sz w:val="20"/>
              </w:rPr>
              <w:t xml:space="preserve"> </w:t>
            </w:r>
            <w:r>
              <w:rPr>
                <w:b/>
                <w:sz w:val="20"/>
              </w:rPr>
              <w:t>requerimiento</w:t>
            </w:r>
            <w:r>
              <w:rPr>
                <w:b/>
                <w:spacing w:val="-1"/>
                <w:sz w:val="20"/>
              </w:rPr>
              <w:t xml:space="preserve"> </w:t>
            </w:r>
            <w:r>
              <w:rPr>
                <w:b/>
                <w:sz w:val="20"/>
              </w:rPr>
              <w:t>por</w:t>
            </w:r>
            <w:r>
              <w:rPr>
                <w:b/>
                <w:spacing w:val="-2"/>
                <w:sz w:val="20"/>
              </w:rPr>
              <w:t xml:space="preserve"> </w:t>
            </w:r>
            <w:r>
              <w:rPr>
                <w:b/>
                <w:sz w:val="20"/>
              </w:rPr>
              <w:t>dependencia</w:t>
            </w:r>
            <w:r>
              <w:rPr>
                <w:b/>
                <w:spacing w:val="-1"/>
                <w:sz w:val="20"/>
              </w:rPr>
              <w:t xml:space="preserve"> </w:t>
            </w:r>
            <w:r>
              <w:rPr>
                <w:b/>
                <w:sz w:val="20"/>
              </w:rPr>
              <w:t>solicitante</w:t>
            </w:r>
          </w:p>
        </w:tc>
      </w:tr>
      <w:tr>
        <w:trPr>
          <w:trHeight w:val="326" w:hRule="atLeast"/>
          <w:cantSplit/>
        </w:trPr>
        <w:tc>
          <w:tcPr>
            <w:tcW w:w="469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 xml:space="preserve">SOLICITANTE </w:t>
            </w:r>
          </w:p>
          <w:p>
            <w:pPr>
              <w:pStyle w:val="Normal"/>
              <w:rPr>
                <w:i/>
                <w:iCs/>
                <w:color w:val="0070C0"/>
                <w:sz w:val="20"/>
                <w:szCs w:val="20"/>
              </w:rPr>
            </w:pPr>
            <w:r>
              <w:rPr>
                <w:i/>
                <w:iCs/>
                <w:color w:val="0070C0"/>
                <w:sz w:val="20"/>
                <w:szCs w:val="20"/>
              </w:rPr>
            </w:r>
          </w:p>
        </w:tc>
        <w:tc>
          <w:tcPr>
            <w:tcW w:w="4932" w:type="dxa"/>
            <w:gridSpan w:val="2"/>
            <w:tcBorders>
              <w:top w:val="single" w:sz="4" w:space="0" w:color="000000"/>
              <w:start w:val="single" w:sz="4" w:space="0" w:color="000000"/>
              <w:bottom w:val="single" w:sz="4" w:space="0" w:color="000000"/>
              <w:end w:val="single" w:sz="4" w:space="0" w:color="000000"/>
            </w:tcBorders>
          </w:tcPr>
          <w:p>
            <w:pPr>
              <w:pStyle w:val="Normal"/>
              <w:rPr>
                <w:b/>
                <w:bCs/>
                <w:color w:val="000000"/>
                <w:sz w:val="20"/>
                <w:szCs w:val="20"/>
              </w:rPr>
            </w:pPr>
            <w:r>
              <w:rPr>
                <w:b/>
                <w:bCs/>
                <w:color w:themeColor="text1" w:val="000000"/>
                <w:sz w:val="20"/>
                <w:szCs w:val="20"/>
              </w:rPr>
              <w:t xml:space="preserve">LIDER FUNCIONAL  </w:t>
            </w:r>
          </w:p>
          <w:p>
            <w:pPr>
              <w:pStyle w:val="Normal"/>
              <w:rPr>
                <w:i/>
                <w:iCs/>
                <w:color w:val="0070C0"/>
                <w:sz w:val="20"/>
                <w:szCs w:val="20"/>
              </w:rPr>
            </w:pPr>
            <w:r>
              <w:rPr>
                <w:i/>
                <w:iCs/>
                <w:color w:val="0070C0"/>
                <w:sz w:val="20"/>
                <w:szCs w:val="20"/>
              </w:rPr>
            </w:r>
          </w:p>
        </w:tc>
      </w:tr>
      <w:tr>
        <w:trPr>
          <w:trHeight w:val="326" w:hRule="atLeast"/>
          <w:cantSplit/>
        </w:trPr>
        <w:tc>
          <w:tcPr>
            <w:tcW w:w="469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 xml:space="preserve">Nombre: </w:t>
            </w:r>
          </w:p>
        </w:tc>
        <w:tc>
          <w:tcPr>
            <w:tcW w:w="493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themeColor="text1" w:val="000000"/>
                <w:sz w:val="20"/>
                <w:szCs w:val="20"/>
              </w:rPr>
              <w:t xml:space="preserve">Nombre: </w:t>
            </w:r>
          </w:p>
        </w:tc>
      </w:tr>
      <w:tr>
        <w:trPr>
          <w:trHeight w:val="326" w:hRule="atLeast"/>
        </w:trPr>
        <w:tc>
          <w:tcPr>
            <w:tcW w:w="469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 xml:space="preserve">Cargo:  </w:t>
            </w:r>
          </w:p>
        </w:tc>
        <w:tc>
          <w:tcPr>
            <w:tcW w:w="493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themeColor="text1" w:val="000000"/>
                <w:sz w:val="20"/>
                <w:szCs w:val="20"/>
              </w:rPr>
              <w:t xml:space="preserve">Cargo: </w:t>
            </w:r>
            <w:r>
              <w:rPr>
                <w:color w:themeColor="text1" w:val="000000"/>
                <w:sz w:val="20"/>
                <w:szCs w:val="20"/>
              </w:rPr>
              <w:t xml:space="preserve"> </w:t>
            </w:r>
          </w:p>
        </w:tc>
      </w:tr>
      <w:tr>
        <w:trPr>
          <w:trHeight w:val="342" w:hRule="atLeast"/>
        </w:trPr>
        <w:tc>
          <w:tcPr>
            <w:tcW w:w="469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Firma:</w:t>
            </w:r>
          </w:p>
        </w:tc>
        <w:tc>
          <w:tcPr>
            <w:tcW w:w="493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Firma:</w:t>
            </w:r>
          </w:p>
        </w:tc>
      </w:tr>
    </w:tbl>
    <w:p>
      <w:pPr>
        <w:pStyle w:val="Normal"/>
        <w:pBdr/>
        <w:rPr>
          <w:b/>
          <w:i/>
          <w:color w:val="2F5496"/>
          <w:sz w:val="20"/>
          <w:szCs w:val="20"/>
        </w:rPr>
      </w:pPr>
      <w:r>
        <w:rPr>
          <w:rFonts w:ascii="Montserrat" w:hAnsi="Montserrat"/>
          <w:sz w:val="14"/>
          <w:szCs w:val="14"/>
        </w:rPr>
      </w:r>
    </w:p>
    <w:p>
      <w:pPr>
        <w:pStyle w:val="Normal"/>
        <w:pBdr/>
        <w:spacing w:lineRule="auto" w:line="259"/>
        <w:jc w:val="both"/>
        <w:rPr>
          <w:rFonts w:ascii="Montserrat" w:hAnsi="Montserrat"/>
          <w:sz w:val="14"/>
          <w:szCs w:val="14"/>
        </w:rPr>
      </w:pPr>
      <w:r>
        <w:rPr>
          <w:rFonts w:ascii="Montserrat" w:hAnsi="Montserrat"/>
          <w:sz w:val="14"/>
          <w:szCs w:val="14"/>
        </w:rPr>
      </w:r>
    </w:p>
    <w:p>
      <w:pPr>
        <w:pStyle w:val="Normal"/>
        <w:pBdr/>
        <w:spacing w:lineRule="auto" w:line="259"/>
        <w:jc w:val="both"/>
        <w:rPr>
          <w:rFonts w:ascii="Montserrat" w:hAnsi="Montserrat"/>
          <w:sz w:val="14"/>
          <w:szCs w:val="14"/>
        </w:rPr>
      </w:pPr>
      <w:r>
        <w:rPr>
          <w:rFonts w:ascii="Montserrat" w:hAnsi="Montserrat"/>
          <w:sz w:val="14"/>
          <w:szCs w:val="14"/>
        </w:rPr>
      </w:r>
    </w:p>
    <w:p>
      <w:pPr>
        <w:pStyle w:val="Normal"/>
        <w:pBdr/>
        <w:spacing w:lineRule="auto" w:line="259"/>
        <w:jc w:val="both"/>
        <w:rPr>
          <w:rFonts w:ascii="Montserrat" w:hAnsi="Montserrat"/>
          <w:sz w:val="14"/>
          <w:szCs w:val="14"/>
        </w:rPr>
      </w:pPr>
      <w:r>
        <w:rPr>
          <w:rFonts w:ascii="Montserrat" w:hAnsi="Montserrat"/>
          <w:sz w:val="14"/>
          <w:szCs w:val="14"/>
        </w:rPr>
      </w:r>
    </w:p>
    <w:p>
      <w:pPr>
        <w:pStyle w:val="Normal"/>
        <w:tabs>
          <w:tab w:val="clear" w:pos="720"/>
          <w:tab w:val="left" w:pos="6090" w:leader="none"/>
        </w:tabs>
        <w:rPr>
          <w:b/>
          <w:bCs/>
          <w:sz w:val="20"/>
          <w:szCs w:val="20"/>
        </w:rPr>
      </w:pPr>
      <w:r>
        <w:rPr>
          <w:b/>
          <w:bCs/>
          <w:sz w:val="20"/>
          <w:szCs w:val="20"/>
        </w:rPr>
        <w:t>Control de versiones</w:t>
      </w:r>
    </w:p>
    <w:p>
      <w:pPr>
        <w:pStyle w:val="Normal"/>
        <w:pBdr/>
        <w:spacing w:lineRule="auto" w:line="259"/>
        <w:jc w:val="both"/>
        <w:rPr>
          <w:rFonts w:ascii="Montserrat" w:hAnsi="Montserrat"/>
          <w:sz w:val="14"/>
          <w:szCs w:val="14"/>
        </w:rPr>
      </w:pPr>
      <w:r>
        <w:rPr>
          <w:rFonts w:ascii="Montserrat" w:hAnsi="Montserrat"/>
          <w:sz w:val="14"/>
          <w:szCs w:val="14"/>
        </w:rPr>
      </w:r>
    </w:p>
    <w:tbl>
      <w:tblPr>
        <w:tblStyle w:val="Tablaconcuadrcula"/>
        <w:tblW w:w="9194" w:type="dxa"/>
        <w:jc w:val="center"/>
        <w:tblInd w:w="0" w:type="dxa"/>
        <w:tblLayout w:type="fixed"/>
        <w:tblCellMar>
          <w:top w:w="0" w:type="dxa"/>
          <w:start w:w="108" w:type="dxa"/>
          <w:bottom w:w="0" w:type="dxa"/>
          <w:end w:w="108" w:type="dxa"/>
        </w:tblCellMar>
        <w:tblLook w:noHBand="1" w:noVBand="1" w:firstColumn="1" w:lastRow="0" w:lastColumn="0" w:firstRow="1" w:val="06a0"/>
      </w:tblPr>
      <w:tblGrid>
        <w:gridCol w:w="1129"/>
        <w:gridCol w:w="1700"/>
        <w:gridCol w:w="6365"/>
      </w:tblGrid>
      <w:tr>
        <w:trPr>
          <w:trHeight w:val="300" w:hRule="atLeast"/>
        </w:trPr>
        <w:tc>
          <w:tcPr>
            <w:tcW w:w="1129" w:type="dxa"/>
            <w:tcBorders/>
            <w:shd w:color="auto" w:fill="329646" w:val="clear"/>
          </w:tcPr>
          <w:p>
            <w:pPr>
              <w:pStyle w:val="Normal"/>
              <w:widowControl/>
              <w:spacing w:before="0" w:after="0"/>
              <w:jc w:val="center"/>
              <w:rPr>
                <w:rFonts w:ascii="Montserrat" w:hAnsi="Montserrat"/>
                <w:b/>
                <w:bCs/>
                <w:color w:themeColor="background1" w:val="FFFFFF"/>
              </w:rPr>
            </w:pPr>
            <w:r>
              <w:rPr>
                <w:rFonts w:eastAsia="Arial" w:cs="Arial" w:ascii="Montserrat" w:hAnsi="Montserrat"/>
                <w:b/>
                <w:bCs/>
                <w:color w:themeColor="background1" w:val="FFFFFF"/>
                <w:kern w:val="0"/>
                <w:sz w:val="22"/>
                <w:szCs w:val="22"/>
                <w:lang w:val="es-CO" w:eastAsia="es-MX" w:bidi="ar-SA"/>
              </w:rPr>
              <w:t>Versión</w:t>
            </w:r>
          </w:p>
        </w:tc>
        <w:tc>
          <w:tcPr>
            <w:tcW w:w="1700" w:type="dxa"/>
            <w:tcBorders/>
            <w:shd w:color="auto" w:fill="329646" w:val="clear"/>
          </w:tcPr>
          <w:p>
            <w:pPr>
              <w:pStyle w:val="Normal"/>
              <w:widowControl/>
              <w:spacing w:before="0" w:after="0"/>
              <w:jc w:val="center"/>
              <w:rPr>
                <w:rFonts w:ascii="Montserrat" w:hAnsi="Montserrat"/>
                <w:b/>
                <w:bCs/>
                <w:color w:themeColor="background1" w:val="FFFFFF"/>
              </w:rPr>
            </w:pPr>
            <w:r>
              <w:rPr>
                <w:rFonts w:eastAsia="Arial" w:cs="Arial" w:ascii="Montserrat" w:hAnsi="Montserrat"/>
                <w:b/>
                <w:bCs/>
                <w:color w:themeColor="background1" w:val="FFFFFF"/>
                <w:kern w:val="0"/>
                <w:sz w:val="22"/>
                <w:szCs w:val="22"/>
                <w:lang w:val="es-CO" w:eastAsia="es-MX" w:bidi="ar-SA"/>
              </w:rPr>
              <w:t>Fecha</w:t>
            </w:r>
          </w:p>
        </w:tc>
        <w:tc>
          <w:tcPr>
            <w:tcW w:w="6365" w:type="dxa"/>
            <w:tcBorders/>
            <w:shd w:color="auto" w:fill="329646" w:val="clear"/>
          </w:tcPr>
          <w:p>
            <w:pPr>
              <w:pStyle w:val="Normal"/>
              <w:widowControl/>
              <w:spacing w:before="0" w:after="0"/>
              <w:jc w:val="center"/>
              <w:rPr>
                <w:rFonts w:ascii="Montserrat" w:hAnsi="Montserrat"/>
                <w:b/>
                <w:bCs/>
                <w:color w:themeColor="background1" w:val="FFFFFF"/>
              </w:rPr>
            </w:pPr>
            <w:r>
              <w:rPr>
                <w:rFonts w:eastAsia="Arial" w:cs="Arial" w:ascii="Montserrat" w:hAnsi="Montserrat"/>
                <w:b/>
                <w:bCs/>
                <w:color w:themeColor="background1" w:val="FFFFFF"/>
                <w:kern w:val="0"/>
                <w:sz w:val="22"/>
                <w:szCs w:val="22"/>
                <w:lang w:val="es-CO" w:eastAsia="es-MX" w:bidi="ar-SA"/>
              </w:rPr>
              <w:t>Descripción de la modificación</w:t>
            </w:r>
          </w:p>
        </w:tc>
      </w:tr>
      <w:tr>
        <w:trPr>
          <w:trHeight w:val="300" w:hRule="atLeast"/>
        </w:trPr>
        <w:tc>
          <w:tcPr>
            <w:tcW w:w="1129" w:type="dxa"/>
            <w:tcBorders/>
          </w:tcPr>
          <w:p>
            <w:pPr>
              <w:pStyle w:val="Normal"/>
              <w:widowControl/>
              <w:spacing w:before="0" w:after="0"/>
              <w:jc w:val="center"/>
              <w:rPr>
                <w:rFonts w:ascii="Montserrat" w:hAnsi="Montserrat"/>
                <w:bCs/>
              </w:rPr>
            </w:pPr>
            <w:r>
              <w:rPr>
                <w:rFonts w:eastAsia="Arial" w:cs="Arial"/>
                <w:i w:val="false"/>
                <w:kern w:val="0"/>
                <w:sz w:val="20"/>
                <w:szCs w:val="22"/>
                <w:lang w:val="es-CO" w:eastAsia="es-MX" w:bidi="ar-SA"/>
              </w:rPr>
              <w:t>1.0</w:t>
            </w:r>
          </w:p>
        </w:tc>
        <w:tc>
          <w:tcPr>
            <w:tcW w:w="1700" w:type="dxa"/>
            <w:tcBorders/>
          </w:tcPr>
          <w:p>
            <w:pPr>
              <w:pStyle w:val="Normal"/>
              <w:widowControl/>
              <w:spacing w:before="0" w:after="0"/>
              <w:jc w:val="start"/>
              <w:rPr>
                <w:rFonts w:ascii="Montserrat" w:hAnsi="Montserrat"/>
                <w:bCs/>
              </w:rPr>
            </w:pPr>
            <w:r>
              <w:rPr>
                <w:rFonts w:eastAsia="Arial" w:cs="Arial"/>
                <w:i w:val="false"/>
                <w:kern w:val="0"/>
                <w:sz w:val="20"/>
                <w:szCs w:val="22"/>
                <w:lang w:val="es-CO" w:eastAsia="es-MX" w:bidi="ar-SA"/>
              </w:rPr>
              <w:t>14/10/2026</w:t>
            </w:r>
          </w:p>
        </w:tc>
        <w:tc>
          <w:tcPr>
            <w:tcW w:w="6365" w:type="dxa"/>
            <w:tcBorders/>
          </w:tcPr>
          <w:p>
            <w:pPr>
              <w:pStyle w:val="Normal"/>
              <w:widowControl/>
              <w:spacing w:before="0" w:after="0"/>
              <w:jc w:val="start"/>
              <w:rPr>
                <w:rFonts w:ascii="Montserrat" w:hAnsi="Montserrat"/>
                <w:bCs/>
              </w:rPr>
            </w:pPr>
            <w:r>
              <w:rPr>
                <w:rFonts w:eastAsia="Arial" w:cs="Arial"/>
                <w:i w:val="false"/>
                <w:kern w:val="0"/>
                <w:sz w:val="20"/>
                <w:szCs w:val="22"/>
                <w:lang w:val="es-CO" w:eastAsia="es-MX" w:bidi="ar-SA"/>
              </w:rPr>
              <w:t>Versión inicial</w:t>
            </w:r>
          </w:p>
        </w:tc>
      </w:tr>
      <w:tr>
        <w:trPr>
          <w:trHeight w:val="300" w:hRule="atLeast"/>
        </w:trPr>
        <w:tc>
          <w:tcPr>
            <w:tcW w:w="1129" w:type="dxa"/>
            <w:tcBorders/>
          </w:tcPr>
          <w:p>
            <w:pPr>
              <w:pStyle w:val="Normal"/>
              <w:widowControl/>
              <w:spacing w:before="0" w:after="0"/>
              <w:jc w:val="center"/>
              <w:rPr>
                <w:rFonts w:ascii="Montserrat" w:hAnsi="Montserrat"/>
              </w:rPr>
            </w:pPr>
            <w:r>
              <w:rPr>
                <w:rFonts w:eastAsia="Arial" w:cs="Arial" w:ascii="Montserrat" w:hAnsi="Montserrat"/>
                <w:kern w:val="0"/>
                <w:sz w:val="22"/>
                <w:szCs w:val="22"/>
                <w:lang w:val="es-CO" w:eastAsia="es-MX" w:bidi="ar-SA"/>
              </w:rPr>
            </w:r>
          </w:p>
        </w:tc>
        <w:tc>
          <w:tcPr>
            <w:tcW w:w="1700" w:type="dxa"/>
            <w:tcBorders/>
          </w:tcPr>
          <w:p>
            <w:pPr>
              <w:pStyle w:val="Normal"/>
              <w:widowControl/>
              <w:spacing w:before="0" w:after="0"/>
              <w:jc w:val="start"/>
              <w:rPr>
                <w:rFonts w:ascii="Montserrat" w:hAnsi="Montserrat"/>
              </w:rPr>
            </w:pPr>
            <w:r>
              <w:rPr>
                <w:rFonts w:eastAsia="Arial" w:cs="Arial" w:ascii="Montserrat" w:hAnsi="Montserrat"/>
                <w:kern w:val="0"/>
                <w:sz w:val="22"/>
                <w:szCs w:val="22"/>
                <w:lang w:val="es-CO" w:eastAsia="es-MX" w:bidi="ar-SA"/>
              </w:rPr>
            </w:r>
          </w:p>
        </w:tc>
        <w:tc>
          <w:tcPr>
            <w:tcW w:w="6365" w:type="dxa"/>
            <w:tcBorders/>
          </w:tcPr>
          <w:p>
            <w:pPr>
              <w:pStyle w:val="Normal"/>
              <w:widowControl/>
              <w:spacing w:before="0" w:after="0"/>
              <w:jc w:val="both"/>
              <w:rPr>
                <w:rFonts w:ascii="Montserrat" w:hAnsi="Montserrat"/>
              </w:rPr>
            </w:pPr>
            <w:r>
              <w:rPr>
                <w:rFonts w:eastAsia="Arial" w:cs="Arial" w:ascii="Montserrat" w:hAnsi="Montserrat"/>
                <w:kern w:val="0"/>
                <w:sz w:val="22"/>
                <w:szCs w:val="22"/>
                <w:lang w:val="es-CO" w:eastAsia="es-MX" w:bidi="ar-SA"/>
              </w:rPr>
            </w:r>
          </w:p>
        </w:tc>
      </w:tr>
      <w:tr>
        <w:trPr>
          <w:trHeight w:val="300" w:hRule="atLeast"/>
        </w:trPr>
        <w:tc>
          <w:tcPr>
            <w:tcW w:w="1129" w:type="dxa"/>
            <w:tcBorders/>
          </w:tcPr>
          <w:p>
            <w:pPr>
              <w:pStyle w:val="Normal"/>
              <w:widowControl/>
              <w:spacing w:before="0" w:after="0"/>
              <w:jc w:val="start"/>
              <w:rPr>
                <w:rFonts w:ascii="Montserrat" w:hAnsi="Montserrat"/>
                <w:b/>
                <w:bCs/>
              </w:rPr>
            </w:pPr>
            <w:r>
              <w:rPr>
                <w:rFonts w:eastAsia="Arial" w:cs="Arial" w:ascii="Montserrat" w:hAnsi="Montserrat"/>
                <w:b/>
                <w:bCs/>
                <w:kern w:val="0"/>
                <w:sz w:val="22"/>
                <w:szCs w:val="22"/>
                <w:lang w:val="es-CO" w:eastAsia="es-MX" w:bidi="ar-SA"/>
              </w:rPr>
            </w:r>
          </w:p>
        </w:tc>
        <w:tc>
          <w:tcPr>
            <w:tcW w:w="1700" w:type="dxa"/>
            <w:tcBorders/>
          </w:tcPr>
          <w:p>
            <w:pPr>
              <w:pStyle w:val="Normal"/>
              <w:widowControl/>
              <w:spacing w:before="0" w:after="0"/>
              <w:jc w:val="start"/>
              <w:rPr>
                <w:rFonts w:ascii="Montserrat" w:hAnsi="Montserrat"/>
                <w:b/>
                <w:bCs/>
              </w:rPr>
            </w:pPr>
            <w:r>
              <w:rPr>
                <w:rFonts w:eastAsia="Arial" w:cs="Arial" w:ascii="Montserrat" w:hAnsi="Montserrat"/>
                <w:b/>
                <w:bCs/>
                <w:kern w:val="0"/>
                <w:sz w:val="22"/>
                <w:szCs w:val="22"/>
                <w:lang w:val="es-CO" w:eastAsia="es-MX" w:bidi="ar-SA"/>
              </w:rPr>
            </w:r>
          </w:p>
        </w:tc>
        <w:tc>
          <w:tcPr>
            <w:tcW w:w="6365" w:type="dxa"/>
            <w:tcBorders/>
          </w:tcPr>
          <w:p>
            <w:pPr>
              <w:pStyle w:val="Normal"/>
              <w:widowControl/>
              <w:spacing w:before="0" w:after="0"/>
              <w:jc w:val="start"/>
              <w:rPr>
                <w:rFonts w:ascii="Montserrat" w:hAnsi="Montserrat"/>
                <w:b/>
                <w:bCs/>
              </w:rPr>
            </w:pPr>
            <w:r>
              <w:rPr>
                <w:rFonts w:eastAsia="Arial" w:cs="Arial" w:ascii="Montserrat" w:hAnsi="Montserrat"/>
                <w:b/>
                <w:bCs/>
                <w:kern w:val="0"/>
                <w:sz w:val="22"/>
                <w:szCs w:val="22"/>
                <w:lang w:val="es-CO" w:eastAsia="es-MX" w:bidi="ar-SA"/>
              </w:rPr>
            </w:r>
            <w:bookmarkStart w:id="1" w:name="_Hlk207090445"/>
            <w:bookmarkEnd w:id="1"/>
          </w:p>
        </w:tc>
      </w:tr>
    </w:tbl>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134" w:right="1134" w:gutter="0" w:header="283" w:top="1134" w:footer="283" w:bottom="1134"/>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Futura Bk">
    <w:charset w:val="01" w:characterSet="utf-8"/>
    <w:family w:val="roman"/>
    <w:pitch w:val="variable"/>
  </w:font>
  <w:font w:name="Times New Roman">
    <w:charset w:val="01" w:characterSet="utf-8"/>
    <w:family w:val="roman"/>
    <w:pitch w:val="variable"/>
  </w:font>
  <w:font w:name="Verdana">
    <w:charset w:val="01" w:characterSet="utf-8"/>
    <w:family w:val="swiss"/>
    <w:pitch w:val="variable"/>
  </w:font>
  <w:font w:name="Heebo">
    <w:charset w:val="01" w:characterSet="utf-8"/>
    <w:family w:val="swiss"/>
    <w:pitch w:val="variable"/>
  </w:font>
  <w:font w:name="Montserrat">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252" w:leader="none"/>
        <w:tab w:val="right" w:pos="8504" w:leader="none"/>
      </w:tabs>
      <w:ind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rPr>
            <w:rFonts w:ascii="Montserrat" w:hAnsi="Montserrat"/>
            <w:sz w:val="16"/>
            <w:szCs w:val="16"/>
          </w:rPr>
        </w:pPr>
        <w:r>
          <w:rPr>
            <w:rFonts w:ascii="Montserrat" w:hAnsi="Montserrat"/>
            <w:sz w:val="16"/>
            <w:szCs w:val="16"/>
          </w:rPr>
          <w:t xml:space="preserve">Código:  </w:t>
        </w:r>
      </w:p>
      <w:p>
        <w:pPr>
          <w:pStyle w:val="Footer"/>
          <w:rPr>
            <w:rFonts w:ascii="Montserrat" w:hAnsi="Montserrat"/>
            <w:sz w:val="16"/>
            <w:szCs w:val="16"/>
          </w:rPr>
        </w:pPr>
        <w:r>
          <w:rPr>
            <w:rFonts w:ascii="Montserrat" w:hAnsi="Montserrat"/>
            <w:sz w:val="16"/>
            <w:szCs w:val="16"/>
          </w:rPr>
          <w:t>Versión: 1.0</w:t>
        </w:r>
      </w:p>
      <w:p>
        <w:pPr>
          <w:pStyle w:val="Footer"/>
          <w:rPr>
            <w:rFonts w:ascii="Montserrat" w:hAnsi="Montserrat"/>
            <w:sz w:val="16"/>
            <w:szCs w:val="16"/>
          </w:rPr>
        </w:pPr>
        <w:r>
          <w:rPr>
            <w:rFonts w:ascii="Montserrat" w:hAnsi="Montserrat"/>
            <w:sz w:val="16"/>
            <w:szCs w:val="16"/>
          </w:rPr>
          <w:t xml:space="preserve">Fecha de aprobación: </w:t>
        </w:r>
      </w:p>
      <w:p>
        <w:pPr>
          <w:pStyle w:val="Footer"/>
          <w:rPr>
            <w:sz w:val="14"/>
            <w:szCs w:val="14"/>
          </w:rPr>
        </w:pPr>
        <w:r>
          <w:rPr>
            <w:rFonts w:ascii="Montserrat" w:hAnsi="Montserrat"/>
            <w:sz w:val="16"/>
            <w:szCs w:val="16"/>
          </w:rPr>
          <w:t xml:space="preserve">Página </w:t>
        </w:r>
        <w:r>
          <w:rPr>
            <w:rFonts w:ascii="Montserrat" w:hAnsi="Montserrat"/>
            <w:b/>
            <w:bCs/>
            <w:sz w:val="16"/>
            <w:szCs w:val="16"/>
          </w:rPr>
          <w:fldChar w:fldCharType="begin"/>
        </w:r>
        <w:r>
          <w:rPr>
            <w:rFonts w:ascii="Montserrat" w:hAnsi="Montserrat"/>
            <w:b/>
            <w:bCs/>
            <w:sz w:val="16"/>
            <w:szCs w:val="16"/>
          </w:rPr>
          <w:instrText xml:space="preserve"> PAGE </w:instrText>
        </w:r>
        <w:r>
          <w:rPr>
            <w:rFonts w:ascii="Montserrat" w:hAnsi="Montserrat"/>
            <w:b/>
            <w:bCs/>
            <w:sz w:val="16"/>
            <w:szCs w:val="16"/>
          </w:rPr>
          <w:fldChar w:fldCharType="separate"/>
        </w:r>
        <w:r>
          <w:rPr>
            <w:rFonts w:ascii="Montserrat" w:hAnsi="Montserrat"/>
            <w:b/>
            <w:bCs/>
            <w:sz w:val="16"/>
            <w:szCs w:val="16"/>
          </w:rPr>
          <w:t>10</w:t>
        </w:r>
        <w:r>
          <w:rPr>
            <w:rFonts w:ascii="Montserrat" w:hAnsi="Montserrat"/>
            <w:b/>
            <w:bCs/>
            <w:sz w:val="16"/>
            <w:szCs w:val="16"/>
          </w:rPr>
          <w:fldChar w:fldCharType="end"/>
        </w:r>
        <w:r>
          <w:rPr>
            <w:rFonts w:ascii="Montserrat" w:hAnsi="Montserrat"/>
            <w:sz w:val="16"/>
            <w:szCs w:val="16"/>
          </w:rPr>
          <w:t xml:space="preserve"> de </w:t>
        </w:r>
        <w:r>
          <w:rPr>
            <w:rFonts w:ascii="Montserrat" w:hAnsi="Montserrat"/>
            <w:b/>
            <w:bCs/>
            <w:sz w:val="16"/>
            <w:szCs w:val="16"/>
          </w:rPr>
          <w:fldChar w:fldCharType="begin"/>
        </w:r>
        <w:r>
          <w:rPr>
            <w:rFonts w:ascii="Montserrat" w:hAnsi="Montserrat"/>
            <w:b/>
            <w:bCs/>
            <w:sz w:val="16"/>
            <w:szCs w:val="16"/>
          </w:rPr>
          <w:instrText xml:space="preserve"> NUMPAGES </w:instrText>
        </w:r>
        <w:r>
          <w:rPr>
            <w:rFonts w:ascii="Montserrat" w:hAnsi="Montserrat"/>
            <w:b/>
            <w:bCs/>
            <w:sz w:val="16"/>
            <w:szCs w:val="16"/>
          </w:rPr>
          <w:fldChar w:fldCharType="separate"/>
        </w:r>
        <w:r>
          <w:rPr>
            <w:rFonts w:ascii="Montserrat" w:hAnsi="Montserrat"/>
            <w:b/>
            <w:bCs/>
            <w:sz w:val="16"/>
            <w:szCs w:val="16"/>
          </w:rPr>
          <w:t>10</w:t>
        </w:r>
        <w:r>
          <w:rPr>
            <w:rFonts w:ascii="Montserrat" w:hAnsi="Montserrat"/>
            <w:b/>
            <w:bCs/>
            <w:sz w:val="16"/>
            <w:szCs w:val="16"/>
          </w:rPr>
          <w:fldChar w:fldCharType="end"/>
        </w:r>
      </w:p>
      <w:p>
        <w:pPr>
          <w:pStyle w:val="Footer"/>
          <w:rPr>
            <w:sz w:val="14"/>
            <w:szCs w:val="14"/>
          </w:rPr>
        </w:pPr>
        <w:r>
          <w:rPr>
            <w:sz w:val="14"/>
            <w:szCs w:val="14"/>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rPr>
            <w:rFonts w:ascii="Montserrat" w:hAnsi="Montserrat"/>
            <w:sz w:val="16"/>
            <w:szCs w:val="16"/>
          </w:rPr>
        </w:pPr>
        <w:r>
          <w:rPr>
            <w:rFonts w:ascii="Montserrat" w:hAnsi="Montserrat"/>
            <w:sz w:val="16"/>
            <w:szCs w:val="16"/>
          </w:rPr>
          <w:t xml:space="preserve">Código:  </w:t>
        </w:r>
      </w:p>
      <w:p>
        <w:pPr>
          <w:pStyle w:val="Footer"/>
          <w:rPr>
            <w:rFonts w:ascii="Montserrat" w:hAnsi="Montserrat"/>
            <w:sz w:val="16"/>
            <w:szCs w:val="16"/>
          </w:rPr>
        </w:pPr>
        <w:r>
          <w:rPr>
            <w:rFonts w:ascii="Montserrat" w:hAnsi="Montserrat"/>
            <w:sz w:val="16"/>
            <w:szCs w:val="16"/>
          </w:rPr>
          <w:t>Versión: 1.0</w:t>
        </w:r>
      </w:p>
      <w:p>
        <w:pPr>
          <w:pStyle w:val="Footer"/>
          <w:rPr>
            <w:rFonts w:ascii="Montserrat" w:hAnsi="Montserrat"/>
            <w:sz w:val="16"/>
            <w:szCs w:val="16"/>
          </w:rPr>
        </w:pPr>
        <w:r>
          <w:rPr>
            <w:rFonts w:ascii="Montserrat" w:hAnsi="Montserrat"/>
            <w:sz w:val="16"/>
            <w:szCs w:val="16"/>
          </w:rPr>
          <w:t xml:space="preserve">Fecha de aprobación: </w:t>
        </w:r>
      </w:p>
      <w:p>
        <w:pPr>
          <w:pStyle w:val="Footer"/>
          <w:rPr>
            <w:sz w:val="14"/>
            <w:szCs w:val="14"/>
          </w:rPr>
        </w:pPr>
        <w:r>
          <w:rPr>
            <w:rFonts w:ascii="Montserrat" w:hAnsi="Montserrat"/>
            <w:sz w:val="16"/>
            <w:szCs w:val="16"/>
          </w:rPr>
          <w:t xml:space="preserve">Página </w:t>
        </w:r>
        <w:r>
          <w:rPr>
            <w:rFonts w:ascii="Montserrat" w:hAnsi="Montserrat"/>
            <w:b/>
            <w:bCs/>
            <w:sz w:val="16"/>
            <w:szCs w:val="16"/>
          </w:rPr>
          <w:fldChar w:fldCharType="begin"/>
        </w:r>
        <w:r>
          <w:rPr>
            <w:rFonts w:ascii="Montserrat" w:hAnsi="Montserrat"/>
            <w:b/>
            <w:bCs/>
            <w:sz w:val="16"/>
            <w:szCs w:val="16"/>
          </w:rPr>
          <w:instrText xml:space="preserve"> PAGE </w:instrText>
        </w:r>
        <w:r>
          <w:rPr>
            <w:rFonts w:ascii="Montserrat" w:hAnsi="Montserrat"/>
            <w:b/>
            <w:bCs/>
            <w:sz w:val="16"/>
            <w:szCs w:val="16"/>
          </w:rPr>
          <w:fldChar w:fldCharType="separate"/>
        </w:r>
        <w:r>
          <w:rPr>
            <w:rFonts w:ascii="Montserrat" w:hAnsi="Montserrat"/>
            <w:b/>
            <w:bCs/>
            <w:sz w:val="16"/>
            <w:szCs w:val="16"/>
          </w:rPr>
          <w:t>10</w:t>
        </w:r>
        <w:r>
          <w:rPr>
            <w:rFonts w:ascii="Montserrat" w:hAnsi="Montserrat"/>
            <w:b/>
            <w:bCs/>
            <w:sz w:val="16"/>
            <w:szCs w:val="16"/>
          </w:rPr>
          <w:fldChar w:fldCharType="end"/>
        </w:r>
        <w:r>
          <w:rPr>
            <w:rFonts w:ascii="Montserrat" w:hAnsi="Montserrat"/>
            <w:sz w:val="16"/>
            <w:szCs w:val="16"/>
          </w:rPr>
          <w:t xml:space="preserve"> de </w:t>
        </w:r>
        <w:r>
          <w:rPr>
            <w:rFonts w:ascii="Montserrat" w:hAnsi="Montserrat"/>
            <w:b/>
            <w:bCs/>
            <w:sz w:val="16"/>
            <w:szCs w:val="16"/>
          </w:rPr>
          <w:fldChar w:fldCharType="begin"/>
        </w:r>
        <w:r>
          <w:rPr>
            <w:rFonts w:ascii="Montserrat" w:hAnsi="Montserrat"/>
            <w:b/>
            <w:bCs/>
            <w:sz w:val="16"/>
            <w:szCs w:val="16"/>
          </w:rPr>
          <w:instrText xml:space="preserve"> NUMPAGES </w:instrText>
        </w:r>
        <w:r>
          <w:rPr>
            <w:rFonts w:ascii="Montserrat" w:hAnsi="Montserrat"/>
            <w:b/>
            <w:bCs/>
            <w:sz w:val="16"/>
            <w:szCs w:val="16"/>
          </w:rPr>
          <w:fldChar w:fldCharType="separate"/>
        </w:r>
        <w:r>
          <w:rPr>
            <w:rFonts w:ascii="Montserrat" w:hAnsi="Montserrat"/>
            <w:b/>
            <w:bCs/>
            <w:sz w:val="16"/>
            <w:szCs w:val="16"/>
          </w:rPr>
          <w:t>10</w:t>
        </w:r>
        <w:r>
          <w:rPr>
            <w:rFonts w:ascii="Montserrat" w:hAnsi="Montserrat"/>
            <w:b/>
            <w:bCs/>
            <w:sz w:val="16"/>
            <w:szCs w:val="16"/>
          </w:rPr>
          <w:fldChar w:fldCharType="end"/>
        </w:r>
      </w:p>
      <w:p>
        <w:pPr>
          <w:pStyle w:val="Footer"/>
          <w:rPr>
            <w:sz w:val="14"/>
            <w:szCs w:val="14"/>
          </w:rPr>
        </w:pPr>
        <w:r>
          <w:rPr>
            <w:sz w:val="14"/>
            <w:szCs w:val="14"/>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207" w:type="dxa"/>
      <w:jc w:val="start"/>
      <w:tblInd w:w="-431" w:type="dxa"/>
      <w:tblLayout w:type="fixed"/>
      <w:tblCellMar>
        <w:top w:w="0" w:type="dxa"/>
        <w:start w:w="108" w:type="dxa"/>
        <w:bottom w:w="0" w:type="dxa"/>
        <w:end w:w="108" w:type="dxa"/>
      </w:tblCellMar>
      <w:tblLook w:noHBand="0" w:noVBand="1" w:firstColumn="1" w:lastRow="0" w:lastColumn="0" w:firstRow="1" w:val="04a0"/>
    </w:tblPr>
    <w:tblGrid>
      <w:gridCol w:w="2979"/>
      <w:gridCol w:w="4577"/>
      <w:gridCol w:w="2651"/>
    </w:tblGrid>
    <w:tr>
      <w:trPr>
        <w:trHeight w:val="1413" w:hRule="atLeast"/>
      </w:trPr>
      <w:tc>
        <w:tcPr>
          <w:tcW w:w="2979" w:type="dxa"/>
          <w:tcBorders>
            <w:top w:val="nil"/>
            <w:start w:val="nil"/>
            <w:bottom w:val="nil"/>
            <w:end w:val="nil"/>
          </w:tcBorders>
        </w:tcPr>
        <w:p>
          <w:pPr>
            <w:pStyle w:val="Header"/>
            <w:widowControl/>
            <w:spacing w:before="0" w:after="0"/>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drawing>
              <wp:anchor distT="0" distB="0" distL="114300" distR="114300" simplePos="0" relativeHeight="14" behindDoc="0" locked="0" layoutInCell="1" allowOverlap="1">
                <wp:simplePos x="0" y="0"/>
                <wp:positionH relativeFrom="column">
                  <wp:posOffset>-62230</wp:posOffset>
                </wp:positionH>
                <wp:positionV relativeFrom="paragraph">
                  <wp:posOffset>66040</wp:posOffset>
                </wp:positionV>
                <wp:extent cx="1754505" cy="520700"/>
                <wp:effectExtent l="0" t="0" r="0" b="0"/>
                <wp:wrapThrough wrapText="bothSides">
                  <wp:wrapPolygon edited="0">
                    <wp:start x="2111" y="0"/>
                    <wp:lineTo x="937" y="3953"/>
                    <wp:lineTo x="-1" y="8691"/>
                    <wp:lineTo x="233" y="13436"/>
                    <wp:lineTo x="1874" y="19752"/>
                    <wp:lineTo x="2111" y="20544"/>
                    <wp:lineTo x="4690" y="20544"/>
                    <wp:lineTo x="16650" y="17383"/>
                    <wp:lineTo x="17354" y="14222"/>
                    <wp:lineTo x="21340" y="13436"/>
                    <wp:lineTo x="21105" y="7899"/>
                    <wp:lineTo x="4690" y="0"/>
                    <wp:lineTo x="2111" y="0"/>
                  </wp:wrapPolygon>
                </wp:wrapThrough>
                <wp:docPr id="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Interfaz de usuario gráfica&#10;&#10;El contenido generado por IA puede ser incorrecto."/>
                        <pic:cNvPicPr>
                          <a:picLocks noChangeAspect="1" noChangeArrowheads="1"/>
                        </pic:cNvPicPr>
                      </pic:nvPicPr>
                      <pic:blipFill>
                        <a:blip r:embed="rId1"/>
                        <a:stretch>
                          <a:fillRect/>
                        </a:stretch>
                      </pic:blipFill>
                      <pic:spPr bwMode="auto">
                        <a:xfrm>
                          <a:off x="0" y="0"/>
                          <a:ext cx="1754505" cy="520700"/>
                        </a:xfrm>
                        <a:prstGeom prst="rect">
                          <a:avLst/>
                        </a:prstGeom>
                        <a:noFill/>
                      </pic:spPr>
                    </pic:pic>
                  </a:graphicData>
                </a:graphic>
              </wp:anchor>
            </w:drawing>
          </w:r>
        </w:p>
      </w:tc>
      <w:tc>
        <w:tcPr>
          <w:tcW w:w="4577" w:type="dxa"/>
          <w:tcBorders>
            <w:top w:val="nil"/>
            <w:start w:val="nil"/>
            <w:bottom w:val="nil"/>
            <w:end w:val="nil"/>
          </w:tcBorders>
          <w:vAlign w:val="center"/>
        </w:tcPr>
        <w:p>
          <w:pPr>
            <w:pStyle w:val="Header"/>
            <w:widowControl/>
            <w:spacing w:before="0" w:after="0"/>
            <w:jc w:val="center"/>
            <w:rPr>
              <w:b/>
              <w:bCs/>
              <w:sz w:val="18"/>
              <w:szCs w:val="20"/>
            </w:rPr>
          </w:pPr>
          <w:r>
            <w:rPr>
              <w:rFonts w:eastAsia="Arial" w:cs="Arial"/>
              <w:b/>
              <w:bCs/>
              <w:kern w:val="0"/>
              <w:sz w:val="18"/>
              <w:szCs w:val="20"/>
              <w:lang w:val="es-CO" w:eastAsia="es-MX" w:bidi="ar-SA"/>
            </w:rPr>
            <w:t>Formato Historias de Usuario</w:t>
          </w:r>
        </w:p>
        <w:p>
          <w:pPr>
            <w:pStyle w:val="Header"/>
            <w:widowControl/>
            <w:spacing w:before="0" w:after="0"/>
            <w:jc w:val="center"/>
            <w:rPr>
              <w:b/>
              <w:bCs/>
              <w:sz w:val="18"/>
              <w:szCs w:val="20"/>
            </w:rPr>
          </w:pPr>
          <w:r>
            <w:rPr>
              <w:rFonts w:eastAsia="Arial" w:cs="Arial"/>
              <w:b/>
              <w:bCs/>
              <w:kern w:val="0"/>
              <w:sz w:val="18"/>
              <w:szCs w:val="20"/>
              <w:lang w:val="es-CO" w:eastAsia="es-MX" w:bidi="ar-SA"/>
            </w:rPr>
            <w:t>Procedimiento Desarrollo de Software</w:t>
          </w:r>
        </w:p>
      </w:tc>
      <w:tc>
        <w:tcPr>
          <w:tcW w:w="2651" w:type="dxa"/>
          <w:tcBorders>
            <w:top w:val="nil"/>
            <w:start w:val="nil"/>
            <w:bottom w:val="nil"/>
            <w:end w:val="nil"/>
          </w:tcBorders>
        </w:tcPr>
        <w:p>
          <w:pPr>
            <w:pStyle w:val="Header"/>
            <w:widowControl/>
            <w:spacing w:before="0" w:after="0"/>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drawing>
              <wp:anchor distT="0" distB="0" distL="114300" distR="114300" simplePos="0" relativeHeight="24" behindDoc="0" locked="0" layoutInCell="1" allowOverlap="1">
                <wp:simplePos x="0" y="0"/>
                <wp:positionH relativeFrom="column">
                  <wp:posOffset>891540</wp:posOffset>
                </wp:positionH>
                <wp:positionV relativeFrom="paragraph">
                  <wp:posOffset>635</wp:posOffset>
                </wp:positionV>
                <wp:extent cx="724535" cy="890270"/>
                <wp:effectExtent l="0" t="0" r="0" b="0"/>
                <wp:wrapThrough wrapText="bothSides">
                  <wp:wrapPolygon edited="0">
                    <wp:start x="-1" y="0"/>
                    <wp:lineTo x="-1" y="21276"/>
                    <wp:lineTo x="21031" y="21276"/>
                    <wp:lineTo x="21031" y="0"/>
                    <wp:lineTo x="-1" y="0"/>
                  </wp:wrapPolygon>
                </wp:wrapThrough>
                <wp:docPr id="5" name="Imagen3"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Mapa&#10;&#10;El contenido generado por IA puede ser incorrecto."/>
                        <pic:cNvPicPr>
                          <a:picLocks noChangeAspect="1" noChangeArrowheads="1"/>
                        </pic:cNvPicPr>
                      </pic:nvPicPr>
                      <pic:blipFill>
                        <a:blip r:embed="rId2"/>
                        <a:srcRect l="26977" t="0" r="27256" b="0"/>
                        <a:stretch>
                          <a:fillRect/>
                        </a:stretch>
                      </pic:blipFill>
                      <pic:spPr bwMode="auto">
                        <a:xfrm>
                          <a:off x="0" y="0"/>
                          <a:ext cx="724535" cy="890270"/>
                        </a:xfrm>
                        <a:prstGeom prst="rect">
                          <a:avLst/>
                        </a:prstGeom>
                        <a:noFill/>
                      </pic:spPr>
                    </pic:pic>
                  </a:graphicData>
                </a:graphic>
              </wp:anchor>
            </w:drawing>
          </w:r>
        </w:p>
        <w:p>
          <w:pPr>
            <w:pStyle w:val="Normal"/>
            <w:widowControl/>
            <w:spacing w:before="0" w:after="0"/>
            <w:ind w:firstLine="708"/>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r>
        </w:p>
      </w:tc>
    </w:tr>
  </w:tbl>
  <w:p>
    <w:pPr>
      <w:pStyle w:val="Header"/>
      <w:rPr>
        <w:sz w:val="2"/>
        <w:szCs w:val="2"/>
      </w:rPr>
    </w:pPr>
    <w:r>
      <w:rPr>
        <w:sz w:val="2"/>
        <w:szCs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207" w:type="dxa"/>
      <w:jc w:val="start"/>
      <w:tblInd w:w="-431" w:type="dxa"/>
      <w:tblLayout w:type="fixed"/>
      <w:tblCellMar>
        <w:top w:w="0" w:type="dxa"/>
        <w:start w:w="108" w:type="dxa"/>
        <w:bottom w:w="0" w:type="dxa"/>
        <w:end w:w="108" w:type="dxa"/>
      </w:tblCellMar>
      <w:tblLook w:noHBand="0" w:noVBand="1" w:firstColumn="1" w:lastRow="0" w:lastColumn="0" w:firstRow="1" w:val="04a0"/>
    </w:tblPr>
    <w:tblGrid>
      <w:gridCol w:w="2979"/>
      <w:gridCol w:w="4577"/>
      <w:gridCol w:w="2651"/>
    </w:tblGrid>
    <w:tr>
      <w:trPr>
        <w:trHeight w:val="1413" w:hRule="atLeast"/>
      </w:trPr>
      <w:tc>
        <w:tcPr>
          <w:tcW w:w="2979" w:type="dxa"/>
          <w:tcBorders>
            <w:top w:val="nil"/>
            <w:start w:val="nil"/>
            <w:bottom w:val="nil"/>
            <w:end w:val="nil"/>
          </w:tcBorders>
        </w:tcPr>
        <w:p>
          <w:pPr>
            <w:pStyle w:val="Header"/>
            <w:widowControl/>
            <w:spacing w:before="0" w:after="0"/>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drawing>
              <wp:anchor distT="0" distB="0" distL="114300" distR="114300" simplePos="0" relativeHeight="14" behindDoc="0" locked="0" layoutInCell="1" allowOverlap="1">
                <wp:simplePos x="0" y="0"/>
                <wp:positionH relativeFrom="column">
                  <wp:posOffset>-62230</wp:posOffset>
                </wp:positionH>
                <wp:positionV relativeFrom="paragraph">
                  <wp:posOffset>66040</wp:posOffset>
                </wp:positionV>
                <wp:extent cx="1754505" cy="520700"/>
                <wp:effectExtent l="0" t="0" r="0" b="0"/>
                <wp:wrapThrough wrapText="bothSides">
                  <wp:wrapPolygon edited="0">
                    <wp:start x="2111" y="0"/>
                    <wp:lineTo x="937" y="3953"/>
                    <wp:lineTo x="-1" y="8691"/>
                    <wp:lineTo x="233" y="13436"/>
                    <wp:lineTo x="1874" y="19752"/>
                    <wp:lineTo x="2111" y="20544"/>
                    <wp:lineTo x="4690" y="20544"/>
                    <wp:lineTo x="16650" y="17383"/>
                    <wp:lineTo x="17354" y="14222"/>
                    <wp:lineTo x="21340" y="13436"/>
                    <wp:lineTo x="21105" y="7899"/>
                    <wp:lineTo x="4690" y="0"/>
                    <wp:lineTo x="2111" y="0"/>
                  </wp:wrapPolygon>
                </wp:wrapThrough>
                <wp:docPr id="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Interfaz de usuario gráfica&#10;&#10;El contenido generado por IA puede ser incorrecto."/>
                        <pic:cNvPicPr>
                          <a:picLocks noChangeAspect="1" noChangeArrowheads="1"/>
                        </pic:cNvPicPr>
                      </pic:nvPicPr>
                      <pic:blipFill>
                        <a:blip r:embed="rId1"/>
                        <a:stretch>
                          <a:fillRect/>
                        </a:stretch>
                      </pic:blipFill>
                      <pic:spPr bwMode="auto">
                        <a:xfrm>
                          <a:off x="0" y="0"/>
                          <a:ext cx="1754505" cy="520700"/>
                        </a:xfrm>
                        <a:prstGeom prst="rect">
                          <a:avLst/>
                        </a:prstGeom>
                        <a:noFill/>
                      </pic:spPr>
                    </pic:pic>
                  </a:graphicData>
                </a:graphic>
              </wp:anchor>
            </w:drawing>
          </w:r>
        </w:p>
      </w:tc>
      <w:tc>
        <w:tcPr>
          <w:tcW w:w="4577" w:type="dxa"/>
          <w:tcBorders>
            <w:top w:val="nil"/>
            <w:start w:val="nil"/>
            <w:bottom w:val="nil"/>
            <w:end w:val="nil"/>
          </w:tcBorders>
          <w:vAlign w:val="center"/>
        </w:tcPr>
        <w:p>
          <w:pPr>
            <w:pStyle w:val="Header"/>
            <w:widowControl/>
            <w:spacing w:before="0" w:after="0"/>
            <w:jc w:val="center"/>
            <w:rPr>
              <w:b/>
              <w:bCs/>
              <w:sz w:val="18"/>
              <w:szCs w:val="20"/>
            </w:rPr>
          </w:pPr>
          <w:r>
            <w:rPr>
              <w:rFonts w:eastAsia="Arial" w:cs="Arial"/>
              <w:b/>
              <w:bCs/>
              <w:kern w:val="0"/>
              <w:sz w:val="18"/>
              <w:szCs w:val="20"/>
              <w:lang w:val="es-CO" w:eastAsia="es-MX" w:bidi="ar-SA"/>
            </w:rPr>
            <w:t>Formato Historias de Usuario</w:t>
          </w:r>
        </w:p>
        <w:p>
          <w:pPr>
            <w:pStyle w:val="Header"/>
            <w:widowControl/>
            <w:spacing w:before="0" w:after="0"/>
            <w:jc w:val="center"/>
            <w:rPr>
              <w:b/>
              <w:bCs/>
              <w:sz w:val="18"/>
              <w:szCs w:val="20"/>
            </w:rPr>
          </w:pPr>
          <w:r>
            <w:rPr>
              <w:rFonts w:eastAsia="Arial" w:cs="Arial"/>
              <w:b/>
              <w:bCs/>
              <w:kern w:val="0"/>
              <w:sz w:val="18"/>
              <w:szCs w:val="20"/>
              <w:lang w:val="es-CO" w:eastAsia="es-MX" w:bidi="ar-SA"/>
            </w:rPr>
            <w:t>Procedimiento Desarrollo de Software</w:t>
          </w:r>
        </w:p>
      </w:tc>
      <w:tc>
        <w:tcPr>
          <w:tcW w:w="2651" w:type="dxa"/>
          <w:tcBorders>
            <w:top w:val="nil"/>
            <w:start w:val="nil"/>
            <w:bottom w:val="nil"/>
            <w:end w:val="nil"/>
          </w:tcBorders>
        </w:tcPr>
        <w:p>
          <w:pPr>
            <w:pStyle w:val="Header"/>
            <w:widowControl/>
            <w:spacing w:before="0" w:after="0"/>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drawing>
              <wp:anchor distT="0" distB="0" distL="114300" distR="114300" simplePos="0" relativeHeight="24" behindDoc="0" locked="0" layoutInCell="1" allowOverlap="1">
                <wp:simplePos x="0" y="0"/>
                <wp:positionH relativeFrom="column">
                  <wp:posOffset>891540</wp:posOffset>
                </wp:positionH>
                <wp:positionV relativeFrom="paragraph">
                  <wp:posOffset>635</wp:posOffset>
                </wp:positionV>
                <wp:extent cx="724535" cy="890270"/>
                <wp:effectExtent l="0" t="0" r="0" b="0"/>
                <wp:wrapThrough wrapText="bothSides">
                  <wp:wrapPolygon edited="0">
                    <wp:start x="-1" y="0"/>
                    <wp:lineTo x="-1" y="21276"/>
                    <wp:lineTo x="21031" y="21276"/>
                    <wp:lineTo x="21031" y="0"/>
                    <wp:lineTo x="-1" y="0"/>
                  </wp:wrapPolygon>
                </wp:wrapThrough>
                <wp:docPr id="7" name="Imagen3"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Mapa&#10;&#10;El contenido generado por IA puede ser incorrecto."/>
                        <pic:cNvPicPr>
                          <a:picLocks noChangeAspect="1" noChangeArrowheads="1"/>
                        </pic:cNvPicPr>
                      </pic:nvPicPr>
                      <pic:blipFill>
                        <a:blip r:embed="rId2"/>
                        <a:srcRect l="26977" t="0" r="27256" b="0"/>
                        <a:stretch>
                          <a:fillRect/>
                        </a:stretch>
                      </pic:blipFill>
                      <pic:spPr bwMode="auto">
                        <a:xfrm>
                          <a:off x="0" y="0"/>
                          <a:ext cx="724535" cy="890270"/>
                        </a:xfrm>
                        <a:prstGeom prst="rect">
                          <a:avLst/>
                        </a:prstGeom>
                        <a:noFill/>
                      </pic:spPr>
                    </pic:pic>
                  </a:graphicData>
                </a:graphic>
              </wp:anchor>
            </w:drawing>
          </w:r>
        </w:p>
        <w:p>
          <w:pPr>
            <w:pStyle w:val="Normal"/>
            <w:widowControl/>
            <w:spacing w:before="0" w:after="0"/>
            <w:ind w:firstLine="708"/>
            <w:jc w:val="start"/>
            <w:rPr>
              <w:rFonts w:ascii="Arial" w:hAnsi="Arial" w:eastAsia="Arial" w:cs="Arial"/>
              <w:kern w:val="0"/>
              <w:sz w:val="22"/>
              <w:szCs w:val="22"/>
              <w:lang w:val="es-CO" w:eastAsia="es-MX" w:bidi="ar-SA"/>
            </w:rPr>
          </w:pPr>
          <w:r>
            <w:rPr>
              <w:rFonts w:eastAsia="Arial" w:cs="Arial"/>
              <w:kern w:val="0"/>
              <w:sz w:val="22"/>
              <w:szCs w:val="22"/>
              <w:lang w:val="es-CO" w:eastAsia="es-MX" w:bidi="ar-SA"/>
            </w:rPr>
          </w:r>
        </w:p>
      </w:tc>
    </w:tr>
  </w:tbl>
  <w:p>
    <w:pPr>
      <w:pStyle w:val="Header"/>
      <w:rPr>
        <w:sz w:val="2"/>
        <w:szCs w:val="2"/>
      </w:rPr>
    </w:pPr>
    <w:r>
      <w:rPr>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O"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508c"/>
    <w:pPr>
      <w:widowControl/>
      <w:bidi w:val="0"/>
      <w:spacing w:before="0" w:after="0"/>
      <w:jc w:val="start"/>
    </w:pPr>
    <w:rPr>
      <w:rFonts w:ascii="Arial" w:hAnsi="Arial" w:eastAsia="Arial" w:cs="Arial"/>
      <w:color w:val="auto"/>
      <w:kern w:val="0"/>
      <w:sz w:val="22"/>
      <w:szCs w:val="22"/>
      <w:lang w:val="es-CO" w:eastAsia="es-MX" w:bidi="ar-SA"/>
    </w:rPr>
  </w:style>
  <w:style w:type="paragraph" w:styleId="Heading1">
    <w:name w:val="heading 1"/>
    <w:basedOn w:val="Normal"/>
    <w:next w:val="Normal"/>
    <w:link w:val="Ttulo1Car"/>
    <w:uiPriority w:val="9"/>
    <w:qFormat/>
    <w:rsid w:val="00b34341"/>
    <w:pPr>
      <w:spacing w:before="0" w:after="0"/>
      <w:contextualSpacing/>
      <w:outlineLvl w:val="0"/>
    </w:pPr>
    <w:rPr>
      <w:spacing w:val="5"/>
      <w:szCs w:val="36"/>
    </w:rPr>
  </w:style>
  <w:style w:type="paragraph" w:styleId="Heading2">
    <w:name w:val="heading 2"/>
    <w:basedOn w:val="Normal"/>
    <w:next w:val="Normal"/>
    <w:link w:val="Ttulo2Car"/>
    <w:uiPriority w:val="9"/>
    <w:semiHidden/>
    <w:unhideWhenUsed/>
    <w:qFormat/>
    <w:rsid w:val="00b816d8"/>
    <w:pPr>
      <w:outlineLvl w:val="1"/>
    </w:pPr>
    <w:rPr>
      <w:b/>
      <w:smallCaps/>
      <w:szCs w:val="28"/>
    </w:rPr>
  </w:style>
  <w:style w:type="paragraph" w:styleId="Heading3">
    <w:name w:val="heading 3"/>
    <w:basedOn w:val="Normal"/>
    <w:next w:val="Normal"/>
    <w:link w:val="Ttulo3Car"/>
    <w:uiPriority w:val="9"/>
    <w:semiHidden/>
    <w:unhideWhenUsed/>
    <w:qFormat/>
    <w:rsid w:val="00457e43"/>
    <w:pPr>
      <w:spacing w:lineRule="auto" w:line="271" w:before="200" w:after="0"/>
      <w:outlineLvl w:val="2"/>
    </w:pPr>
    <w:rPr>
      <w:i/>
      <w:iCs/>
      <w:smallCaps/>
      <w:spacing w:val="5"/>
      <w:sz w:val="26"/>
      <w:szCs w:val="26"/>
    </w:rPr>
  </w:style>
  <w:style w:type="paragraph" w:styleId="Heading4">
    <w:name w:val="heading 4"/>
    <w:basedOn w:val="Normal"/>
    <w:next w:val="Normal"/>
    <w:link w:val="Ttulo4Car"/>
    <w:uiPriority w:val="9"/>
    <w:semiHidden/>
    <w:unhideWhenUsed/>
    <w:qFormat/>
    <w:rsid w:val="00457e43"/>
    <w:pPr>
      <w:spacing w:lineRule="auto" w:line="271"/>
      <w:outlineLvl w:val="3"/>
    </w:pPr>
    <w:rPr>
      <w:b/>
      <w:bCs/>
      <w:spacing w:val="5"/>
      <w:sz w:val="24"/>
      <w:szCs w:val="24"/>
    </w:rPr>
  </w:style>
  <w:style w:type="paragraph" w:styleId="Heading5">
    <w:name w:val="heading 5"/>
    <w:basedOn w:val="Normal"/>
    <w:next w:val="Normal"/>
    <w:link w:val="Ttulo5Car"/>
    <w:uiPriority w:val="9"/>
    <w:semiHidden/>
    <w:unhideWhenUsed/>
    <w:qFormat/>
    <w:rsid w:val="00457e43"/>
    <w:pPr>
      <w:spacing w:lineRule="auto" w:line="271"/>
      <w:outlineLvl w:val="4"/>
    </w:pPr>
    <w:rPr>
      <w:i/>
      <w:iCs/>
      <w:sz w:val="24"/>
      <w:szCs w:val="24"/>
    </w:rPr>
  </w:style>
  <w:style w:type="paragraph" w:styleId="Heading6">
    <w:name w:val="heading 6"/>
    <w:basedOn w:val="Normal"/>
    <w:next w:val="Normal"/>
    <w:link w:val="Ttulo6Car"/>
    <w:uiPriority w:val="9"/>
    <w:semiHidden/>
    <w:unhideWhenUsed/>
    <w:qFormat/>
    <w:rsid w:val="00457e43"/>
    <w:pPr>
      <w:shd w:val="clear" w:color="auto" w:fill="FFFFFF"/>
      <w:spacing w:lineRule="auto" w:line="271"/>
      <w:outlineLvl w:val="5"/>
    </w:pPr>
    <w:rPr>
      <w:b/>
      <w:bCs/>
      <w:color w:val="595959"/>
      <w:spacing w:val="5"/>
    </w:rPr>
  </w:style>
  <w:style w:type="paragraph" w:styleId="Heading7">
    <w:name w:val="heading 7"/>
    <w:basedOn w:val="Normal"/>
    <w:next w:val="Normal"/>
    <w:link w:val="Ttulo7Car"/>
    <w:uiPriority w:val="9"/>
    <w:qFormat/>
    <w:rsid w:val="00457e43"/>
    <w:pPr>
      <w:outlineLvl w:val="6"/>
    </w:pPr>
    <w:rPr>
      <w:b/>
      <w:bCs/>
      <w:i/>
      <w:iCs/>
      <w:color w:val="5A5A5A"/>
      <w:sz w:val="20"/>
      <w:szCs w:val="20"/>
    </w:rPr>
  </w:style>
  <w:style w:type="paragraph" w:styleId="Heading8">
    <w:name w:val="heading 8"/>
    <w:basedOn w:val="Normal"/>
    <w:next w:val="Normal"/>
    <w:link w:val="Ttulo8Car"/>
    <w:uiPriority w:val="9"/>
    <w:qFormat/>
    <w:rsid w:val="00457e43"/>
    <w:pPr>
      <w:outlineLvl w:val="7"/>
    </w:pPr>
    <w:rPr>
      <w:b/>
      <w:bCs/>
      <w:color w:val="7F7F7F"/>
      <w:sz w:val="20"/>
      <w:szCs w:val="20"/>
    </w:rPr>
  </w:style>
  <w:style w:type="paragraph" w:styleId="Heading9">
    <w:name w:val="heading 9"/>
    <w:basedOn w:val="Normal"/>
    <w:next w:val="Normal"/>
    <w:link w:val="Ttulo9Car"/>
    <w:uiPriority w:val="9"/>
    <w:qFormat/>
    <w:rsid w:val="00457e43"/>
    <w:pPr>
      <w:spacing w:lineRule="auto" w:line="271"/>
      <w:outlineLvl w:val="8"/>
    </w:pPr>
    <w:rPr>
      <w:b/>
      <w:bCs/>
      <w:i/>
      <w:iCs/>
      <w:color w:val="7F7F7F"/>
      <w:sz w:val="18"/>
      <w:szCs w:val="18"/>
    </w:rPr>
  </w:style>
  <w:style w:type="character" w:styleId="DefaultParagraphFont" w:default="1">
    <w:name w:val="Default Paragraph Font"/>
    <w:uiPriority w:val="1"/>
    <w:semiHidden/>
    <w:unhideWhenUsed/>
    <w:qFormat/>
    <w:rPr/>
  </w:style>
  <w:style w:type="character" w:styleId="Hyperlink">
    <w:name w:val="Hyperlink"/>
    <w:uiPriority w:val="99"/>
    <w:rsid w:val="00fa1be3"/>
    <w:rPr>
      <w:color w:val="0000FF"/>
      <w:u w:val="single"/>
    </w:rPr>
  </w:style>
  <w:style w:type="character" w:styleId="andresbedoya" w:customStyle="1">
    <w:name w:val="andres.bedoya"/>
    <w:semiHidden/>
    <w:qFormat/>
    <w:rsid w:val="00c83f8c"/>
    <w:rPr>
      <w:rFonts w:ascii="Arial" w:hAnsi="Arial" w:cs="Arial"/>
      <w:color w:val="auto"/>
      <w:sz w:val="20"/>
      <w:szCs w:val="20"/>
    </w:rPr>
  </w:style>
  <w:style w:type="character" w:styleId="PageNumber">
    <w:name w:val="page number"/>
    <w:basedOn w:val="DefaultParagraphFont"/>
    <w:rsid w:val="0099592e"/>
    <w:rPr/>
  </w:style>
  <w:style w:type="character" w:styleId="Ttulo1Car" w:customStyle="1">
    <w:name w:val="Título 1 Car"/>
    <w:uiPriority w:val="9"/>
    <w:qFormat/>
    <w:rsid w:val="00b34341"/>
    <w:rPr>
      <w:rFonts w:ascii="Arial" w:hAnsi="Arial"/>
      <w:spacing w:val="5"/>
      <w:sz w:val="22"/>
      <w:szCs w:val="36"/>
    </w:rPr>
  </w:style>
  <w:style w:type="character" w:styleId="Ttulo2Car" w:customStyle="1">
    <w:name w:val="Título 2 Car"/>
    <w:uiPriority w:val="9"/>
    <w:qFormat/>
    <w:rsid w:val="00b816d8"/>
    <w:rPr>
      <w:rFonts w:ascii="Arial" w:hAnsi="Arial"/>
      <w:b/>
      <w:smallCaps/>
      <w:sz w:val="22"/>
      <w:szCs w:val="28"/>
    </w:rPr>
  </w:style>
  <w:style w:type="character" w:styleId="Ttulo3Car" w:customStyle="1">
    <w:name w:val="Título 3 Car"/>
    <w:uiPriority w:val="9"/>
    <w:qFormat/>
    <w:rsid w:val="00457e43"/>
    <w:rPr>
      <w:rFonts w:ascii="Arial" w:hAnsi="Arial"/>
      <w:i/>
      <w:iCs/>
      <w:smallCaps/>
      <w:spacing w:val="5"/>
      <w:sz w:val="26"/>
      <w:szCs w:val="26"/>
    </w:rPr>
  </w:style>
  <w:style w:type="character" w:styleId="Ttulo4Car" w:customStyle="1">
    <w:name w:val="Título 4 Car"/>
    <w:uiPriority w:val="9"/>
    <w:qFormat/>
    <w:rsid w:val="00457e43"/>
    <w:rPr>
      <w:rFonts w:ascii="Arial" w:hAnsi="Arial"/>
      <w:b/>
      <w:bCs/>
      <w:spacing w:val="5"/>
      <w:sz w:val="24"/>
      <w:szCs w:val="24"/>
    </w:rPr>
  </w:style>
  <w:style w:type="character" w:styleId="Ttulo5Car" w:customStyle="1">
    <w:name w:val="Título 5 Car"/>
    <w:uiPriority w:val="9"/>
    <w:qFormat/>
    <w:rsid w:val="00457e43"/>
    <w:rPr>
      <w:rFonts w:ascii="Arial" w:hAnsi="Arial"/>
      <w:i/>
      <w:iCs/>
      <w:sz w:val="24"/>
      <w:szCs w:val="24"/>
    </w:rPr>
  </w:style>
  <w:style w:type="character" w:styleId="Ttulo6Car" w:customStyle="1">
    <w:name w:val="Título 6 Car"/>
    <w:uiPriority w:val="9"/>
    <w:qFormat/>
    <w:rsid w:val="00457e43"/>
    <w:rPr>
      <w:rFonts w:ascii="Arial" w:hAnsi="Arial"/>
      <w:b/>
      <w:bCs/>
      <w:color w:val="595959"/>
      <w:spacing w:val="5"/>
      <w:sz w:val="22"/>
      <w:szCs w:val="22"/>
      <w:shd w:fill="FFFFFF" w:val="clear"/>
    </w:rPr>
  </w:style>
  <w:style w:type="character" w:styleId="Ttulo7Car" w:customStyle="1">
    <w:name w:val="Título 7 Car"/>
    <w:uiPriority w:val="9"/>
    <w:qFormat/>
    <w:rsid w:val="00457e43"/>
    <w:rPr>
      <w:rFonts w:ascii="Arial" w:hAnsi="Arial"/>
      <w:b/>
      <w:bCs/>
      <w:i/>
      <w:iCs/>
      <w:color w:val="5A5A5A"/>
    </w:rPr>
  </w:style>
  <w:style w:type="character" w:styleId="Ttulo8Car" w:customStyle="1">
    <w:name w:val="Título 8 Car"/>
    <w:uiPriority w:val="9"/>
    <w:qFormat/>
    <w:rsid w:val="00457e43"/>
    <w:rPr>
      <w:rFonts w:ascii="Arial" w:hAnsi="Arial"/>
      <w:b/>
      <w:bCs/>
      <w:color w:val="7F7F7F"/>
    </w:rPr>
  </w:style>
  <w:style w:type="character" w:styleId="Ttulo9Car" w:customStyle="1">
    <w:name w:val="Título 9 Car"/>
    <w:uiPriority w:val="9"/>
    <w:qFormat/>
    <w:rsid w:val="00457e43"/>
    <w:rPr>
      <w:rFonts w:ascii="Arial" w:hAnsi="Arial"/>
      <w:b/>
      <w:bCs/>
      <w:i/>
      <w:iCs/>
      <w:color w:val="7F7F7F"/>
      <w:sz w:val="18"/>
      <w:szCs w:val="18"/>
    </w:rPr>
  </w:style>
  <w:style w:type="character" w:styleId="TtuloCar" w:customStyle="1">
    <w:name w:val="Título Car"/>
    <w:link w:val="Ttulo1"/>
    <w:uiPriority w:val="10"/>
    <w:qFormat/>
    <w:rsid w:val="00457e43"/>
    <w:rPr>
      <w:rFonts w:ascii="Arial" w:hAnsi="Arial"/>
      <w:smallCaps/>
      <w:sz w:val="52"/>
      <w:szCs w:val="52"/>
    </w:rPr>
  </w:style>
  <w:style w:type="character" w:styleId="SubttuloCar" w:customStyle="1">
    <w:name w:val="Subtítulo Car"/>
    <w:uiPriority w:val="11"/>
    <w:qFormat/>
    <w:rsid w:val="00457e43"/>
    <w:rPr>
      <w:i/>
      <w:iCs/>
      <w:smallCaps/>
      <w:spacing w:val="10"/>
      <w:sz w:val="28"/>
      <w:szCs w:val="28"/>
    </w:rPr>
  </w:style>
  <w:style w:type="character" w:styleId="Strong">
    <w:name w:val="Strong"/>
    <w:uiPriority w:val="22"/>
    <w:qFormat/>
    <w:rsid w:val="00457e43"/>
    <w:rPr>
      <w:b/>
      <w:bCs/>
    </w:rPr>
  </w:style>
  <w:style w:type="character" w:styleId="Emphasis">
    <w:name w:val="Emphasis"/>
    <w:uiPriority w:val="20"/>
    <w:qFormat/>
    <w:rsid w:val="00457e43"/>
    <w:rPr>
      <w:b/>
      <w:bCs/>
      <w:i/>
      <w:iCs/>
      <w:spacing w:val="10"/>
    </w:rPr>
  </w:style>
  <w:style w:type="character" w:styleId="SinespaciadoCar" w:customStyle="1">
    <w:name w:val="Sin espaciado Car"/>
    <w:link w:val="NoSpacing"/>
    <w:uiPriority w:val="1"/>
    <w:qFormat/>
    <w:rsid w:val="009867ea"/>
    <w:rPr>
      <w:rFonts w:ascii="Arial" w:hAnsi="Arial"/>
      <w:sz w:val="22"/>
      <w:szCs w:val="22"/>
    </w:rPr>
  </w:style>
  <w:style w:type="character" w:styleId="CitaCar" w:customStyle="1">
    <w:name w:val="Cita Car"/>
    <w:link w:val="Quote"/>
    <w:uiPriority w:val="29"/>
    <w:qFormat/>
    <w:rsid w:val="00457e43"/>
    <w:rPr>
      <w:i/>
      <w:iCs/>
    </w:rPr>
  </w:style>
  <w:style w:type="character" w:styleId="CitadestacadaCar" w:customStyle="1">
    <w:name w:val="Cita destacada Car"/>
    <w:link w:val="IntenseQuote"/>
    <w:uiPriority w:val="30"/>
    <w:qFormat/>
    <w:rsid w:val="00457e43"/>
    <w:rPr>
      <w:i/>
      <w:iCs/>
    </w:rPr>
  </w:style>
  <w:style w:type="character" w:styleId="SubtleEmphasis">
    <w:name w:val="Subtle Emphasis"/>
    <w:uiPriority w:val="19"/>
    <w:qFormat/>
    <w:rsid w:val="00457e43"/>
    <w:rPr>
      <w:i/>
      <w:iCs/>
    </w:rPr>
  </w:style>
  <w:style w:type="character" w:styleId="IntenseEmphasis">
    <w:name w:val="Intense Emphasis"/>
    <w:uiPriority w:val="21"/>
    <w:qFormat/>
    <w:rsid w:val="00457e43"/>
    <w:rPr>
      <w:b/>
      <w:bCs/>
      <w:i/>
      <w:iCs/>
    </w:rPr>
  </w:style>
  <w:style w:type="character" w:styleId="SubtleReference">
    <w:name w:val="Subtle Reference"/>
    <w:uiPriority w:val="31"/>
    <w:qFormat/>
    <w:rsid w:val="00457e43"/>
    <w:rPr>
      <w:smallCaps/>
    </w:rPr>
  </w:style>
  <w:style w:type="character" w:styleId="IntenseReference">
    <w:name w:val="Intense Reference"/>
    <w:uiPriority w:val="32"/>
    <w:qFormat/>
    <w:rsid w:val="00457e43"/>
    <w:rPr>
      <w:b/>
      <w:bCs/>
      <w:smallCaps/>
    </w:rPr>
  </w:style>
  <w:style w:type="character" w:styleId="BookTitle">
    <w:name w:val="Book Title"/>
    <w:uiPriority w:val="33"/>
    <w:qFormat/>
    <w:rsid w:val="00457e43"/>
    <w:rPr>
      <w:i/>
      <w:iCs/>
      <w:smallCaps/>
      <w:spacing w:val="5"/>
    </w:rPr>
  </w:style>
  <w:style w:type="character" w:styleId="TextoindependienteCar" w:customStyle="1">
    <w:name w:val="Texto independiente Car"/>
    <w:basedOn w:val="DefaultParagraphFont"/>
    <w:qFormat/>
    <w:rsid w:val="000c5ad5"/>
    <w:rPr/>
  </w:style>
  <w:style w:type="character" w:styleId="TDC1Car" w:customStyle="1">
    <w:name w:val="TDC 1 Car"/>
    <w:uiPriority w:val="39"/>
    <w:qFormat/>
    <w:rsid w:val="002930b6"/>
    <w:rPr>
      <w:rFonts w:ascii="Calibri" w:hAnsi="Calibri" w:cs="Calibri"/>
      <w:b/>
      <w:bCs/>
      <w:sz w:val="20"/>
      <w:szCs w:val="20"/>
    </w:rPr>
  </w:style>
  <w:style w:type="character" w:styleId="TextodegloboCar" w:customStyle="1">
    <w:name w:val="Texto de globo Car"/>
    <w:link w:val="BalloonText"/>
    <w:qFormat/>
    <w:rsid w:val="00290996"/>
    <w:rPr>
      <w:rFonts w:ascii="Tahoma" w:hAnsi="Tahoma" w:cs="Tahoma"/>
      <w:sz w:val="16"/>
      <w:szCs w:val="16"/>
    </w:rPr>
  </w:style>
  <w:style w:type="character" w:styleId="PiedepginaCar" w:customStyle="1">
    <w:name w:val="Pie de página Car"/>
    <w:uiPriority w:val="99"/>
    <w:qFormat/>
    <w:rsid w:val="001c4fce"/>
    <w:rPr>
      <w:rFonts w:ascii="Arial" w:hAnsi="Arial"/>
      <w:sz w:val="22"/>
      <w:szCs w:val="22"/>
    </w:rPr>
  </w:style>
  <w:style w:type="character" w:styleId="CommentReference">
    <w:name w:val="annotation reference"/>
    <w:basedOn w:val="DefaultParagraphFont"/>
    <w:uiPriority w:val="99"/>
    <w:semiHidden/>
    <w:unhideWhenUsed/>
    <w:qFormat/>
    <w:rsid w:val="004f7b6b"/>
    <w:rPr>
      <w:sz w:val="16"/>
      <w:szCs w:val="16"/>
    </w:rPr>
  </w:style>
  <w:style w:type="character" w:styleId="TextocomentarioCar" w:customStyle="1">
    <w:name w:val="Texto comentario Car"/>
    <w:basedOn w:val="DefaultParagraphFont"/>
    <w:uiPriority w:val="99"/>
    <w:qFormat/>
    <w:rsid w:val="004f7b6b"/>
    <w:rPr>
      <w:sz w:val="20"/>
      <w:szCs w:val="20"/>
    </w:rPr>
  </w:style>
  <w:style w:type="character" w:styleId="AsuntodelcomentarioCar" w:customStyle="1">
    <w:name w:val="Asunto del comentario Car"/>
    <w:basedOn w:val="TextocomentarioCar"/>
    <w:link w:val="annotationsubject"/>
    <w:uiPriority w:val="99"/>
    <w:semiHidden/>
    <w:qFormat/>
    <w:rsid w:val="004f7b6b"/>
    <w:rPr>
      <w:b/>
      <w:bCs/>
      <w:sz w:val="20"/>
      <w:szCs w:val="20"/>
    </w:rPr>
  </w:style>
  <w:style w:type="character" w:styleId="normaltextrun" w:customStyle="1">
    <w:name w:val="normaltextrun"/>
    <w:basedOn w:val="DefaultParagraphFont"/>
    <w:qFormat/>
    <w:rsid w:val="00a43181"/>
    <w:rPr/>
  </w:style>
  <w:style w:type="character" w:styleId="eop" w:customStyle="1">
    <w:name w:val="eop"/>
    <w:basedOn w:val="DefaultParagraphFont"/>
    <w:qFormat/>
    <w:rsid w:val="00a43181"/>
    <w:rPr/>
  </w:style>
  <w:style w:type="character" w:styleId="EncabezadoCar" w:customStyle="1">
    <w:name w:val="Encabezado Car"/>
    <w:basedOn w:val="DefaultParagraphFont"/>
    <w:uiPriority w:val="99"/>
    <w:qFormat/>
    <w:rsid w:val="00b77fcd"/>
    <w:rPr/>
  </w:style>
  <w:style w:type="character" w:styleId="cf01" w:customStyle="1">
    <w:name w:val="cf01"/>
    <w:basedOn w:val="DefaultParagraphFont"/>
    <w:qFormat/>
    <w:rsid w:val="0019129a"/>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rsid w:val="000c5ad5"/>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Cabeceraypie">
    <w:name w:val="Cabecera y pie"/>
    <w:basedOn w:val="Normal"/>
    <w:qFormat/>
    <w:pPr/>
    <w:rPr/>
  </w:style>
  <w:style w:type="paragraph" w:styleId="Footer">
    <w:name w:val="footer"/>
    <w:basedOn w:val="Normal"/>
    <w:link w:val="PiedepginaCar"/>
    <w:uiPriority w:val="99"/>
    <w:rsid w:val="0099592e"/>
    <w:pPr>
      <w:tabs>
        <w:tab w:val="clear" w:pos="720"/>
        <w:tab w:val="center" w:pos="4252" w:leader="none"/>
        <w:tab w:val="right" w:pos="8504" w:leader="none"/>
      </w:tabs>
    </w:pPr>
    <w:rPr/>
  </w:style>
  <w:style w:type="paragraph" w:styleId="TOC1">
    <w:name w:val="toc 1"/>
    <w:basedOn w:val="Normal"/>
    <w:next w:val="Normal"/>
    <w:link w:val="TDC1Car"/>
    <w:autoRedefine/>
    <w:uiPriority w:val="39"/>
    <w:rsid w:val="00097754"/>
    <w:pPr>
      <w:spacing w:before="240" w:after="120"/>
    </w:pPr>
    <w:rPr>
      <w:rFonts w:ascii="Calibri" w:hAnsi="Calibri" w:cs="Calibri"/>
      <w:b/>
      <w:bCs/>
      <w:sz w:val="20"/>
      <w:szCs w:val="20"/>
    </w:rPr>
  </w:style>
  <w:style w:type="paragraph" w:styleId="Index4">
    <w:name w:val="index 4"/>
    <w:basedOn w:val="Normal"/>
    <w:next w:val="Normal"/>
    <w:autoRedefine/>
    <w:semiHidden/>
    <w:qFormat/>
    <w:rsid w:val="0099592e"/>
    <w:pPr>
      <w:ind w:hanging="240" w:start="960"/>
    </w:pPr>
    <w:rPr/>
  </w:style>
  <w:style w:type="paragraph" w:styleId="Header">
    <w:name w:val="header"/>
    <w:basedOn w:val="Normal"/>
    <w:link w:val="EncabezadoCar"/>
    <w:uiPriority w:val="99"/>
    <w:rsid w:val="0099592e"/>
    <w:pPr>
      <w:tabs>
        <w:tab w:val="clear" w:pos="720"/>
        <w:tab w:val="center" w:pos="4252" w:leader="none"/>
        <w:tab w:val="right" w:pos="8504" w:leader="none"/>
      </w:tabs>
    </w:pPr>
    <w:rPr/>
  </w:style>
  <w:style w:type="paragraph" w:styleId="TableSmHeadingRight" w:customStyle="1">
    <w:name w:val="Table_Sm_Heading_Right"/>
    <w:basedOn w:val="Normal"/>
    <w:qFormat/>
    <w:rsid w:val="004608b8"/>
    <w:pPr>
      <w:keepNext w:val="true"/>
      <w:keepLines/>
      <w:spacing w:before="60" w:after="40"/>
      <w:ind w:end="-900"/>
      <w:jc w:val="end"/>
    </w:pPr>
    <w:rPr>
      <w:rFonts w:ascii="Futura Bk" w:hAnsi="Futura Bk"/>
      <w:b/>
      <w:sz w:val="16"/>
      <w:szCs w:val="20"/>
      <w:lang w:val="es-ES_tradnl" w:eastAsia="en-US"/>
    </w:rPr>
  </w:style>
  <w:style w:type="paragraph" w:styleId="TableMedium" w:customStyle="1">
    <w:name w:val="Table_Medium"/>
    <w:basedOn w:val="Normal"/>
    <w:qFormat/>
    <w:rsid w:val="004608b8"/>
    <w:pPr>
      <w:spacing w:before="40" w:after="40"/>
      <w:ind w:end="-900"/>
    </w:pPr>
    <w:rPr>
      <w:rFonts w:ascii="Futura Bk" w:hAnsi="Futura Bk"/>
      <w:sz w:val="16"/>
      <w:szCs w:val="20"/>
      <w:lang w:val="es-ES_tradnl" w:eastAsia="en-US"/>
    </w:rPr>
  </w:style>
  <w:style w:type="paragraph" w:styleId="TOC2">
    <w:name w:val="toc 2"/>
    <w:basedOn w:val="Normal"/>
    <w:next w:val="Normal"/>
    <w:autoRedefine/>
    <w:uiPriority w:val="39"/>
    <w:rsid w:val="003b57e3"/>
    <w:pPr>
      <w:spacing w:before="120" w:after="0"/>
      <w:ind w:start="220"/>
    </w:pPr>
    <w:rPr>
      <w:rFonts w:ascii="Calibri" w:hAnsi="Calibri" w:cs="Calibri"/>
      <w:i/>
      <w:iCs/>
      <w:sz w:val="20"/>
      <w:szCs w:val="20"/>
    </w:rPr>
  </w:style>
  <w:style w:type="paragraph" w:styleId="TOC3">
    <w:name w:val="toc 3"/>
    <w:basedOn w:val="Normal"/>
    <w:next w:val="Normal"/>
    <w:autoRedefine/>
    <w:semiHidden/>
    <w:rsid w:val="00c26a4b"/>
    <w:pPr>
      <w:ind w:start="440"/>
    </w:pPr>
    <w:rPr>
      <w:rFonts w:ascii="Calibri" w:hAnsi="Calibri" w:cs="Calibri"/>
      <w:sz w:val="20"/>
      <w:szCs w:val="20"/>
    </w:rPr>
  </w:style>
  <w:style w:type="paragraph" w:styleId="TOC4">
    <w:name w:val="toc 4"/>
    <w:basedOn w:val="Normal"/>
    <w:next w:val="Normal"/>
    <w:autoRedefine/>
    <w:semiHidden/>
    <w:rsid w:val="00c26a4b"/>
    <w:pPr>
      <w:ind w:start="660"/>
    </w:pPr>
    <w:rPr>
      <w:rFonts w:ascii="Calibri" w:hAnsi="Calibri" w:cs="Calibri"/>
      <w:sz w:val="20"/>
      <w:szCs w:val="20"/>
    </w:rPr>
  </w:style>
  <w:style w:type="paragraph" w:styleId="TOC5">
    <w:name w:val="toc 5"/>
    <w:basedOn w:val="Normal"/>
    <w:next w:val="Normal"/>
    <w:autoRedefine/>
    <w:semiHidden/>
    <w:rsid w:val="00c26a4b"/>
    <w:pPr>
      <w:ind w:start="880"/>
    </w:pPr>
    <w:rPr>
      <w:rFonts w:ascii="Calibri" w:hAnsi="Calibri" w:cs="Calibri"/>
      <w:sz w:val="20"/>
      <w:szCs w:val="20"/>
    </w:rPr>
  </w:style>
  <w:style w:type="paragraph" w:styleId="TOC6">
    <w:name w:val="toc 6"/>
    <w:basedOn w:val="Normal"/>
    <w:next w:val="Normal"/>
    <w:autoRedefine/>
    <w:semiHidden/>
    <w:rsid w:val="00c26a4b"/>
    <w:pPr>
      <w:ind w:start="1100"/>
    </w:pPr>
    <w:rPr>
      <w:rFonts w:ascii="Calibri" w:hAnsi="Calibri" w:cs="Calibri"/>
      <w:sz w:val="20"/>
      <w:szCs w:val="20"/>
    </w:rPr>
  </w:style>
  <w:style w:type="paragraph" w:styleId="TOC7">
    <w:name w:val="toc 7"/>
    <w:basedOn w:val="Normal"/>
    <w:next w:val="Normal"/>
    <w:autoRedefine/>
    <w:semiHidden/>
    <w:rsid w:val="00c26a4b"/>
    <w:pPr>
      <w:ind w:start="1320"/>
    </w:pPr>
    <w:rPr>
      <w:rFonts w:ascii="Calibri" w:hAnsi="Calibri" w:cs="Calibri"/>
      <w:sz w:val="20"/>
      <w:szCs w:val="20"/>
    </w:rPr>
  </w:style>
  <w:style w:type="paragraph" w:styleId="TOC8">
    <w:name w:val="toc 8"/>
    <w:basedOn w:val="Normal"/>
    <w:next w:val="Normal"/>
    <w:autoRedefine/>
    <w:semiHidden/>
    <w:rsid w:val="00c26a4b"/>
    <w:pPr>
      <w:ind w:start="1540"/>
    </w:pPr>
    <w:rPr>
      <w:rFonts w:ascii="Calibri" w:hAnsi="Calibri" w:cs="Calibri"/>
      <w:sz w:val="20"/>
      <w:szCs w:val="20"/>
    </w:rPr>
  </w:style>
  <w:style w:type="paragraph" w:styleId="TOC9">
    <w:name w:val="toc 9"/>
    <w:basedOn w:val="Normal"/>
    <w:next w:val="Normal"/>
    <w:autoRedefine/>
    <w:semiHidden/>
    <w:rsid w:val="00c26a4b"/>
    <w:pPr>
      <w:ind w:start="1760"/>
    </w:pPr>
    <w:rPr>
      <w:rFonts w:ascii="Calibri" w:hAnsi="Calibri" w:cs="Calibri"/>
      <w:sz w:val="20"/>
      <w:szCs w:val="20"/>
    </w:rPr>
  </w:style>
  <w:style w:type="paragraph" w:styleId="Epgrafe1" w:customStyle="1">
    <w:name w:val="Epígrafe1"/>
    <w:basedOn w:val="Normal"/>
    <w:next w:val="Normal"/>
    <w:uiPriority w:val="35"/>
    <w:qFormat/>
    <w:rsid w:val="000c5ad5"/>
    <w:pPr/>
    <w:rPr>
      <w:b/>
      <w:bCs/>
      <w:sz w:val="18"/>
      <w:szCs w:val="18"/>
    </w:rPr>
  </w:style>
  <w:style w:type="paragraph" w:styleId="Ttulo1" w:customStyle="1">
    <w:name w:val="Título1"/>
    <w:basedOn w:val="Normal"/>
    <w:next w:val="Normal"/>
    <w:link w:val="TtuloCar"/>
    <w:uiPriority w:val="10"/>
    <w:qFormat/>
    <w:rsid w:val="00457e43"/>
    <w:pPr>
      <w:spacing w:before="0" w:after="300"/>
      <w:contextualSpacing/>
    </w:pPr>
    <w:rPr>
      <w:smallCaps/>
      <w:sz w:val="52"/>
      <w:szCs w:val="52"/>
    </w:rPr>
  </w:style>
  <w:style w:type="paragraph" w:styleId="Subtitle">
    <w:name w:val="Subtitle"/>
    <w:basedOn w:val="Normal"/>
    <w:next w:val="Normal"/>
    <w:link w:val="SubttuloCar"/>
    <w:uiPriority w:val="11"/>
    <w:qFormat/>
    <w:pPr/>
    <w:rPr>
      <w:i/>
      <w:smallCaps/>
      <w:sz w:val="28"/>
      <w:szCs w:val="28"/>
    </w:rPr>
  </w:style>
  <w:style w:type="paragraph" w:styleId="NoSpacing">
    <w:name w:val="No Spacing"/>
    <w:basedOn w:val="Normal"/>
    <w:link w:val="SinespaciadoCar"/>
    <w:uiPriority w:val="1"/>
    <w:qFormat/>
    <w:rsid w:val="00457e43"/>
    <w:pPr/>
    <w:rPr/>
  </w:style>
  <w:style w:type="paragraph" w:styleId="ListParagraph">
    <w:name w:val="List Paragraph"/>
    <w:basedOn w:val="Normal"/>
    <w:uiPriority w:val="99"/>
    <w:qFormat/>
    <w:rsid w:val="00457e43"/>
    <w:pPr>
      <w:spacing w:before="0" w:after="0"/>
      <w:ind w:start="720"/>
      <w:contextualSpacing/>
    </w:pPr>
    <w:rPr/>
  </w:style>
  <w:style w:type="paragraph" w:styleId="Quote">
    <w:name w:val="Quote"/>
    <w:basedOn w:val="Normal"/>
    <w:next w:val="Normal"/>
    <w:link w:val="CitaCar"/>
    <w:uiPriority w:val="29"/>
    <w:qFormat/>
    <w:rsid w:val="00457e43"/>
    <w:pPr/>
    <w:rPr>
      <w:i/>
      <w:iCs/>
    </w:rPr>
  </w:style>
  <w:style w:type="paragraph" w:styleId="IntenseQuote">
    <w:name w:val="Intense Quote"/>
    <w:basedOn w:val="Normal"/>
    <w:next w:val="Normal"/>
    <w:link w:val="CitadestacadaCar"/>
    <w:uiPriority w:val="30"/>
    <w:qFormat/>
    <w:rsid w:val="00457e43"/>
    <w:pPr>
      <w:pBdr>
        <w:top w:val="single" w:sz="4" w:space="10" w:color="000000"/>
        <w:bottom w:val="single" w:sz="4" w:space="10" w:color="000000"/>
      </w:pBdr>
      <w:spacing w:lineRule="auto" w:line="300" w:before="240" w:after="240"/>
      <w:ind w:start="1152" w:end="1152"/>
      <w:jc w:val="both"/>
    </w:pPr>
    <w:rPr>
      <w:i/>
      <w:iCs/>
    </w:rPr>
  </w:style>
  <w:style w:type="paragraph" w:styleId="IndexHeading">
    <w:name w:val="index heading"/>
    <w:basedOn w:val="Ttulo"/>
    <w:pPr/>
    <w:rPr/>
  </w:style>
  <w:style w:type="paragraph" w:styleId="TOCHeading">
    <w:name w:val="TOC Heading"/>
    <w:basedOn w:val="Heading1"/>
    <w:next w:val="Normal"/>
    <w:uiPriority w:val="39"/>
    <w:qFormat/>
    <w:rsid w:val="00457e43"/>
    <w:pPr>
      <w:outlineLvl w:val="9"/>
    </w:pPr>
    <w:rPr>
      <w:lang w:bidi="en-US"/>
    </w:rPr>
  </w:style>
  <w:style w:type="paragraph" w:styleId="Tabletext" w:customStyle="1">
    <w:name w:val="Tabletext"/>
    <w:basedOn w:val="Normal"/>
    <w:qFormat/>
    <w:rsid w:val="000c5ad5"/>
    <w:pPr>
      <w:keepLines/>
      <w:spacing w:before="0" w:after="120"/>
    </w:pPr>
    <w:rPr>
      <w:lang w:val="en-US" w:eastAsia="en-US" w:bidi="en-US"/>
    </w:rPr>
  </w:style>
  <w:style w:type="paragraph" w:styleId="InfoBlue" w:customStyle="1">
    <w:name w:val="InfoBlue"/>
    <w:basedOn w:val="Normal"/>
    <w:next w:val="BodyText"/>
    <w:autoRedefine/>
    <w:qFormat/>
    <w:rsid w:val="000c5ad5"/>
    <w:pPr>
      <w:spacing w:before="0" w:after="120"/>
      <w:ind w:start="720"/>
    </w:pPr>
    <w:rPr>
      <w:i/>
      <w:color w:val="0000FF"/>
      <w:lang w:val="en-US" w:eastAsia="en-US" w:bidi="en-US"/>
    </w:rPr>
  </w:style>
  <w:style w:type="paragraph" w:styleId="BalloonText">
    <w:name w:val="Balloon Text"/>
    <w:basedOn w:val="Normal"/>
    <w:link w:val="TextodegloboCar"/>
    <w:qFormat/>
    <w:rsid w:val="00290996"/>
    <w:pPr/>
    <w:rPr>
      <w:rFonts w:ascii="Tahoma" w:hAnsi="Tahoma" w:cs="Tahoma"/>
      <w:sz w:val="16"/>
      <w:szCs w:val="16"/>
    </w:rPr>
  </w:style>
  <w:style w:type="paragraph" w:styleId="Default" w:customStyle="1">
    <w:name w:val="Default"/>
    <w:qFormat/>
    <w:rsid w:val="00ed3dd8"/>
    <w:pPr>
      <w:widowControl/>
      <w:bidi w:val="0"/>
      <w:spacing w:before="0" w:after="0"/>
      <w:jc w:val="start"/>
    </w:pPr>
    <w:rPr>
      <w:rFonts w:ascii="Arial" w:hAnsi="Arial" w:eastAsia="Arial" w:cs="Arial"/>
      <w:color w:val="000000"/>
      <w:kern w:val="0"/>
      <w:sz w:val="24"/>
      <w:szCs w:val="24"/>
      <w:lang w:val="es-ES" w:eastAsia="es-ES" w:bidi="ar-SA"/>
    </w:rPr>
  </w:style>
  <w:style w:type="paragraph" w:styleId="Revision">
    <w:name w:val="Revision"/>
    <w:uiPriority w:val="99"/>
    <w:semiHidden/>
    <w:qFormat/>
    <w:rsid w:val="004f7b6b"/>
    <w:pPr>
      <w:widowControl/>
      <w:bidi w:val="0"/>
      <w:spacing w:before="0" w:after="0"/>
      <w:jc w:val="start"/>
    </w:pPr>
    <w:rPr>
      <w:rFonts w:ascii="Arial" w:hAnsi="Arial" w:eastAsia="Arial" w:cs="Arial"/>
      <w:color w:val="auto"/>
      <w:kern w:val="0"/>
      <w:sz w:val="22"/>
      <w:szCs w:val="22"/>
      <w:lang w:val="es-CO" w:eastAsia="es-MX" w:bidi="ar-SA"/>
    </w:rPr>
  </w:style>
  <w:style w:type="paragraph" w:styleId="CommentText">
    <w:name w:val="annotation text"/>
    <w:basedOn w:val="Normal"/>
    <w:link w:val="TextocomentarioCar"/>
    <w:uiPriority w:val="99"/>
    <w:unhideWhenUsed/>
    <w:rsid w:val="004f7b6b"/>
    <w:pPr/>
    <w:rPr>
      <w:sz w:val="20"/>
      <w:szCs w:val="20"/>
    </w:rPr>
  </w:style>
  <w:style w:type="paragraph" w:styleId="annotationsubject">
    <w:name w:val="annotation subject"/>
    <w:basedOn w:val="CommentText"/>
    <w:next w:val="CommentText"/>
    <w:link w:val="AsuntodelcomentarioCar"/>
    <w:uiPriority w:val="99"/>
    <w:semiHidden/>
    <w:unhideWhenUsed/>
    <w:qFormat/>
    <w:rsid w:val="004f7b6b"/>
    <w:pPr/>
    <w:rPr>
      <w:b/>
      <w:bCs/>
    </w:rPr>
  </w:style>
  <w:style w:type="paragraph" w:styleId="paragraph" w:customStyle="1">
    <w:name w:val="paragraph"/>
    <w:basedOn w:val="Normal"/>
    <w:qFormat/>
    <w:rsid w:val="009c320b"/>
    <w:pPr>
      <w:spacing w:beforeAutospacing="1" w:afterAutospacing="1"/>
    </w:pPr>
    <w:rPr>
      <w:rFonts w:ascii="Times New Roman" w:hAnsi="Times New Roman" w:eastAsia="Times New Roman" w:cs="Times New Roman"/>
      <w:sz w:val="24"/>
      <w:szCs w:val="24"/>
      <w:lang w:eastAsia="es-CO"/>
    </w:rPr>
  </w:style>
  <w:style w:type="paragraph" w:styleId="TableParagraph" w:customStyle="1">
    <w:name w:val="Table Paragraph"/>
    <w:basedOn w:val="Normal"/>
    <w:uiPriority w:val="1"/>
    <w:qFormat/>
    <w:rsid w:val="003210c9"/>
    <w:pPr>
      <w:widowControl w:val="false"/>
      <w:ind w:start="106"/>
    </w:pPr>
    <w:rPr>
      <w:rFonts w:ascii="Verdana" w:hAnsi="Verdana" w:eastAsia="Verdana" w:cs="Verdana"/>
      <w:lang w:val="es-ES" w:eastAsia="en-U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qFormat/>
    <w:rsid w:val="008921c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concolores-nfasis1">
    <w:name w:val="Grid Table 6 Colorful Accent 1"/>
    <w:basedOn w:val="Tablanormal"/>
    <w:uiPriority w:val="51"/>
    <w:rsid w:val="00133110"/>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clara1">
    <w:name w:val="Tabla con cuadrícula clara1"/>
    <w:basedOn w:val="Tablanormal"/>
    <w:rsid w:val="005c4341"/>
    <w:rPr>
      <w:lang w:val="es-UY" w:eastAsia="es-UY"/>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Tablaconcuadrculaclara">
    <w:name w:val="Grid Table Light"/>
    <w:basedOn w:val="Tablanormal"/>
    <w:rsid w:val="005c4341"/>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17">
    <w:name w:val="17"/>
    <w:basedOn w:val="Tablanormal"/>
    <w:rPr/>
    <w:tblPr>
      <w:tblStyleRowBandSize w:val="1"/>
      <w:tblStyleColBandSize w:val="1"/>
    </w:tblPr>
  </w:style>
  <w:style w:type="table" w:customStyle="1" w:styleId="16">
    <w:name w:val="16"/>
    <w:basedOn w:val="Tablanormal"/>
    <w:rPr/>
    <w:tblPr>
      <w:tblStyleRowBandSize w:val="1"/>
      <w:tblStyleColBandSize w:val="1"/>
    </w:tblPr>
  </w:style>
  <w:style w:type="table" w:customStyle="1" w:styleId="15">
    <w:name w:val="15"/>
    <w:basedOn w:val="Tablanormal"/>
    <w:rPr/>
    <w:tblPr>
      <w:tblStyleRowBandSize w:val="1"/>
      <w:tblStyleColBandSize w:val="1"/>
    </w:tblPr>
  </w:style>
  <w:style w:type="table" w:customStyle="1" w:styleId="14">
    <w:name w:val="14"/>
    <w:basedOn w:val="Tablanormal"/>
    <w:rPr/>
    <w:tblPr>
      <w:tblStyleRowBandSize w:val="1"/>
      <w:tblStyleColBandSize w:val="1"/>
    </w:tblPr>
  </w:style>
  <w:style w:type="table" w:customStyle="1" w:styleId="13">
    <w:name w:val="13"/>
    <w:basedOn w:val="Tablanormal"/>
    <w:rPr/>
    <w:tblPr>
      <w:tblStyleRowBandSize w:val="1"/>
      <w:tblStyleColBandSize w:val="1"/>
    </w:tblPr>
  </w:style>
  <w:style w:type="table" w:customStyle="1" w:styleId="12">
    <w:name w:val="12"/>
    <w:basedOn w:val="Tablanormal"/>
    <w:rPr/>
    <w:tblPr>
      <w:tblStyleRowBandSize w:val="1"/>
      <w:tblStyleColBandSize w:val="1"/>
    </w:tblPr>
  </w:style>
  <w:style w:type="table" w:customStyle="1" w:styleId="11">
    <w:name w:val="11"/>
    <w:basedOn w:val="Tablanormal"/>
    <w:rPr/>
    <w:tblPr>
      <w:tblStyleRowBandSize w:val="1"/>
      <w:tblStyleColBandSize w:val="1"/>
    </w:tblPr>
  </w:style>
  <w:style w:type="table" w:customStyle="1" w:styleId="10">
    <w:name w:val="10"/>
    <w:basedOn w:val="Tablanormal"/>
    <w:rPr/>
    <w:tblPr>
      <w:tblStyleRowBandSize w:val="1"/>
      <w:tblStyleColBandSize w:val="1"/>
    </w:tblPr>
  </w:style>
  <w:style w:type="table" w:customStyle="1" w:styleId="9">
    <w:name w:val="9"/>
    <w:basedOn w:val="Tablanormal"/>
    <w:rPr/>
    <w:tblPr>
      <w:tblStyleRowBandSize w:val="1"/>
      <w:tblStyleColBandSize w:val="1"/>
    </w:tblPr>
  </w:style>
  <w:style w:type="table" w:customStyle="1" w:styleId="8">
    <w:name w:val="8"/>
    <w:basedOn w:val="Tablanormal"/>
    <w:rPr/>
    <w:tblPr>
      <w:tblStyleRowBandSize w:val="1"/>
      <w:tblStyleColBandSize w:val="1"/>
    </w:tblPr>
  </w:style>
  <w:style w:type="table" w:customStyle="1" w:styleId="7">
    <w:name w:val="7"/>
    <w:basedOn w:val="Tablanormal"/>
    <w:tblPr>
      <w:tblStyleRowBandSize w:val="1"/>
      <w:tblStyleColBandSize w:val="1"/>
      <w:tblCellMar>
        <w:left w:w="70" w:type="dxa"/>
        <w:right w:w="70" w:type="dxa"/>
      </w:tblCellMar>
    </w:tblPr>
  </w:style>
  <w:style w:type="table" w:customStyle="1" w:styleId="6">
    <w:name w:val="6"/>
    <w:basedOn w:val="Tablanormal"/>
    <w:rPr/>
    <w:tblPr>
      <w:tblStyleRowBandSize w:val="1"/>
      <w:tblStyleColBandSize w:val="1"/>
    </w:tblPr>
  </w:style>
  <w:style w:type="table" w:customStyle="1" w:styleId="5">
    <w:name w:val="5"/>
    <w:basedOn w:val="Tablanormal"/>
    <w:rPr/>
    <w:tblPr>
      <w:tblStyleRowBandSize w:val="1"/>
      <w:tblStyleColBandSize w:val="1"/>
    </w:tblPr>
  </w:style>
  <w:style w:type="table" w:customStyle="1" w:styleId="4">
    <w:name w:val="4"/>
    <w:basedOn w:val="Tablanormal"/>
    <w:rPr/>
    <w:tblPr>
      <w:tblStyleRowBandSize w:val="1"/>
      <w:tblStyleColBandSize w:val="1"/>
    </w:tblPr>
  </w:style>
  <w:style w:type="table" w:customStyle="1" w:styleId="3">
    <w:name w:val="3"/>
    <w:basedOn w:val="Tablanormal"/>
    <w:rPr/>
    <w:tblPr>
      <w:tblStyleRowBandSize w:val="1"/>
      <w:tblStyleColBandSize w:val="1"/>
    </w:tblPr>
  </w:style>
  <w:style w:type="table" w:customStyle="1" w:styleId="2">
    <w:name w:val="2"/>
    <w:basedOn w:val="Tablanormal"/>
    <w:rPr/>
    <w:tblPr>
      <w:tblStyleRowBandSize w:val="1"/>
      <w:tblStyleColBandSize w:val="1"/>
    </w:tblPr>
  </w:style>
  <w:style w:type="table" w:customStyle="1" w:styleId="1">
    <w:name w:val="1"/>
    <w:basedOn w:val="Tablanormal"/>
    <w:rPr/>
    <w:tblPr>
      <w:tblStyleRowBandSize w:val="1"/>
      <w:tblStyleColBandSize w:val="1"/>
    </w:tblPr>
  </w:style>
  <w:style w:type="table" w:customStyle="1" w:styleId="TableNormal1">
    <w:name w:val="Table Normal1"/>
    <w:rsid w:val="008c0349"/>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Relationship Id="rId19" Type="http://schemas.openxmlformats.org/officeDocument/2006/relationships/customXml" Target="../customXml/item5.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D504E6277881941A1245FE945D97F46" ma:contentTypeVersion="7" ma:contentTypeDescription="Crear nuevo documento." ma:contentTypeScope="" ma:versionID="cfac8c6b0d558c8f4e8d4387ae5e8b31">
  <xsd:schema xmlns:xsd="http://www.w3.org/2001/XMLSchema" xmlns:xs="http://www.w3.org/2001/XMLSchema" xmlns:p="http://schemas.microsoft.com/office/2006/metadata/properties" xmlns:ns2="943763e3-2d1d-42f4-8ce5-2c1929b3f051" targetNamespace="http://schemas.microsoft.com/office/2006/metadata/properties" ma:root="true" ma:fieldsID="b87467574fb4ab3883e251c59e8b9954" ns2:_="">
    <xsd:import namespace="943763e3-2d1d-42f4-8ce5-2c1929b3f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763e3-2d1d-42f4-8ce5-2c1929b3f0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roundtripDataSignature="AMtx7mgOfD+aLfprHMXvMpWjUJ8SN9Hvww==">AMUW2mWBJNqXBp9vhhNXD/kMEF2Q+44Pn7mOhNdRN2/Ts1s29P2N9/XPReHlAXl8S9ToVfJ2mxYGiK6s8ppyAjkBKSQY3VnOJR4wAqF0ibpuqSdiAOBOv0McoMLRYbY0Bp5m3Y3U0Mh+3ATjo0kYDw93lZarJVhsDGzFGPTUDnWlQWEKe3lYb6jz5ydyw7KmGYb2yzxWTTIaBhCGj3+1vIi0wVrBxMmVP+w6cvYzZMDXVCxbKuBEVBWAirp/owV4SkK/GO6UTV5UYQEOy6qbwubhlr3P5RBsqUW5h3gJ0ooUBnlyXvG8bmZABq8oH9IwRschuDMY6B1r</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244DD-0245-4962-838D-0C58A47BB685}">
  <ds:schemaRefs>
    <ds:schemaRef ds:uri="http://schemas.microsoft.com/sharepoint/v3/contenttype/forms"/>
  </ds:schemaRefs>
</ds:datastoreItem>
</file>

<file path=customXml/itemProps2.xml><?xml version="1.0" encoding="utf-8"?>
<ds:datastoreItem xmlns:ds="http://schemas.openxmlformats.org/officeDocument/2006/customXml" ds:itemID="{9EE73B03-38E2-4D27-808A-EE8A00EFD00C}"/>
</file>

<file path=customXml/itemProps3.xml><?xml version="1.0" encoding="utf-8"?>
<ds:datastoreItem xmlns:ds="http://schemas.openxmlformats.org/officeDocument/2006/customXml" ds:itemID="{E6043659-57F0-46E5-A37E-47A6BCBC5A7F}">
  <ds:schemaRefs>
    <ds:schemaRef ds:uri="http://schemas.microsoft.com/office/2006/metadata/properties"/>
    <ds:schemaRef ds:uri="http://schemas.microsoft.com/office/infopath/2007/PartnerControls"/>
    <ds:schemaRef ds:uri="c33d5f61-2147-4bec-96a6-17136f3b050c"/>
    <ds:schemaRef ds:uri="18fe32c2-2bd9-4455-8534-48dfd29340f6"/>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BF9547F-58DF-4770-A868-FDCF0E166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Application>LibreOffice/26.2.5.2$Linux_X86_64 LibreOffice_project/6d2b0d33fb0f5da53a12f98bed3e9973e56ff1f0</Application>
  <AppVersion>15.0000</AppVersion>
  <Pages>10</Pages>
  <Words>3107</Words>
  <Characters>17550</Characters>
  <CharactersWithSpaces>20422</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2025-09-11T21:14:00Z</dcterms:created>
  <dc:creator>Alfredo Ahumada</dc:creator>
  <dc:description/>
  <dc:language>es-ES</dc:language>
  <cp:lastModifiedBy/>
  <dcterms:modified xsi:type="dcterms:W3CDTF">2026-10-14T14:52:36Z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536">
    <vt:lpwstr>10640</vt:lpwstr>
  </property>
  <property fmtid="{D5CDD505-2E9C-101B-9397-08002B2CF9AE}" pid="3" name="ComplianceAssetId">
    <vt:lpwstr/>
  </property>
  <property fmtid="{D5CDD505-2E9C-101B-9397-08002B2CF9AE}" pid="4" name="ContentTypeId">
    <vt:lpwstr>0x010100CD504E6277881941A1245FE945D97F46</vt:lpwstr>
  </property>
  <property fmtid="{D5CDD505-2E9C-101B-9397-08002B2CF9AE}" pid="5" name="MediaServiceImageTags">
    <vt:lpwstr/>
  </property>
  <property fmtid="{D5CDD505-2E9C-101B-9397-08002B2CF9AE}" pid="6" name="Order">
    <vt:r8>8100</vt:r8>
  </property>
  <property fmtid="{D5CDD505-2E9C-101B-9397-08002B2CF9AE}" pid="7" name="TemplateUrl">
    <vt:lpwstr/>
  </property>
  <property fmtid="{D5CDD505-2E9C-101B-9397-08002B2CF9AE}" pid="8" name="TriggerFlowInfo">
    <vt:lpwstr/>
  </property>
  <property fmtid="{D5CDD505-2E9C-101B-9397-08002B2CF9AE}" pid="9" name="_ExtendedDescription">
    <vt:lpwstr/>
  </property>
  <property fmtid="{D5CDD505-2E9C-101B-9397-08002B2CF9AE}" pid="10" name="_SharedFileIndex">
    <vt:lpwstr/>
  </property>
  <property fmtid="{D5CDD505-2E9C-101B-9397-08002B2CF9AE}" pid="11" name="_SourceUrl">
    <vt:lpwstr/>
  </property>
  <property fmtid="{D5CDD505-2E9C-101B-9397-08002B2CF9AE}" pid="12" name="xd_ProgID">
    <vt:lpwstr/>
  </property>
  <property fmtid="{D5CDD505-2E9C-101B-9397-08002B2CF9AE}" pid="13" name="xd_Signature">
    <vt:bool>0</vt:bool>
  </property>
</Properties>
</file>