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971A" w14:textId="4174BCA0" w:rsidR="00AA17A6" w:rsidRPr="00732156" w:rsidRDefault="00AA17A6" w:rsidP="002F0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Carbon </w:t>
      </w:r>
      <w:r w:rsidR="007213C9" w:rsidRPr="00732156">
        <w:rPr>
          <w:rFonts w:ascii="Times New Roman" w:hAnsi="Times New Roman" w:cs="Times New Roman"/>
          <w:sz w:val="24"/>
          <w:szCs w:val="24"/>
        </w:rPr>
        <w:t xml:space="preserve">Pricing </w:t>
      </w:r>
      <w:r w:rsidR="00EA718F" w:rsidRPr="00732156">
        <w:rPr>
          <w:rFonts w:ascii="Times New Roman" w:hAnsi="Times New Roman" w:cs="Times New Roman"/>
          <w:sz w:val="24"/>
          <w:szCs w:val="24"/>
        </w:rPr>
        <w:t xml:space="preserve">Policies </w:t>
      </w:r>
      <w:r w:rsidR="007213C9" w:rsidRPr="00732156">
        <w:rPr>
          <w:rFonts w:ascii="Times New Roman" w:hAnsi="Times New Roman" w:cs="Times New Roman"/>
          <w:sz w:val="24"/>
          <w:szCs w:val="24"/>
        </w:rPr>
        <w:t xml:space="preserve">and Decoupling </w:t>
      </w:r>
      <w:r w:rsidR="008D11FA" w:rsidRPr="00732156">
        <w:rPr>
          <w:rFonts w:ascii="Times New Roman" w:hAnsi="Times New Roman" w:cs="Times New Roman"/>
          <w:sz w:val="24"/>
          <w:szCs w:val="24"/>
        </w:rPr>
        <w:t>B</w:t>
      </w:r>
      <w:r w:rsidR="007213C9" w:rsidRPr="00732156">
        <w:rPr>
          <w:rFonts w:ascii="Times New Roman" w:hAnsi="Times New Roman" w:cs="Times New Roman"/>
          <w:sz w:val="24"/>
          <w:szCs w:val="24"/>
        </w:rPr>
        <w:t xml:space="preserve">etween Greenhouse Gas </w:t>
      </w:r>
      <w:r w:rsidR="002F0E6A" w:rsidRPr="00732156">
        <w:rPr>
          <w:rFonts w:ascii="Times New Roman" w:hAnsi="Times New Roman" w:cs="Times New Roman"/>
          <w:sz w:val="24"/>
          <w:szCs w:val="24"/>
        </w:rPr>
        <w:t>Emission</w:t>
      </w:r>
      <w:r w:rsidR="008D11FA" w:rsidRPr="00732156">
        <w:rPr>
          <w:rFonts w:ascii="Times New Roman" w:hAnsi="Times New Roman" w:cs="Times New Roman"/>
          <w:sz w:val="24"/>
          <w:szCs w:val="24"/>
        </w:rPr>
        <w:t>s</w:t>
      </w:r>
      <w:r w:rsidR="002F0E6A" w:rsidRPr="00732156">
        <w:rPr>
          <w:rFonts w:ascii="Times New Roman" w:hAnsi="Times New Roman" w:cs="Times New Roman"/>
          <w:sz w:val="24"/>
          <w:szCs w:val="24"/>
        </w:rPr>
        <w:t xml:space="preserve"> and Economic Growth: A Panel Study of 30 European Countries, 1996-2014</w:t>
      </w:r>
    </w:p>
    <w:p w14:paraId="08E4A8AD" w14:textId="77777777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2E011" w14:textId="13A44582" w:rsidR="00AA17A6" w:rsidRPr="00732156" w:rsidRDefault="00AA17A6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AD7DA" w14:textId="77777777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Abstract</w:t>
      </w:r>
    </w:p>
    <w:p w14:paraId="1E977A59" w14:textId="6ECC2B8C" w:rsidR="00483408" w:rsidRPr="00732156" w:rsidRDefault="002F7C76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22655932"/>
      <w:r w:rsidRPr="00732156">
        <w:rPr>
          <w:rFonts w:ascii="Times New Roman" w:hAnsi="Times New Roman" w:cs="Times New Roman"/>
          <w:sz w:val="24"/>
          <w:szCs w:val="24"/>
        </w:rPr>
        <w:t>Th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is study 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explores </w:t>
      </w:r>
      <w:r w:rsidR="00652EEF" w:rsidRPr="00732156">
        <w:rPr>
          <w:rFonts w:ascii="Times New Roman" w:hAnsi="Times New Roman" w:cs="Times New Roman"/>
          <w:sz w:val="24"/>
          <w:szCs w:val="24"/>
        </w:rPr>
        <w:t>why the levels of decoupling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 between greenhouse gas (GHG) emission</w:t>
      </w:r>
      <w:r w:rsidR="00195B3A" w:rsidRPr="00732156">
        <w:rPr>
          <w:rFonts w:ascii="Times New Roman" w:hAnsi="Times New Roman" w:cs="Times New Roman"/>
          <w:sz w:val="24"/>
          <w:szCs w:val="24"/>
        </w:rPr>
        <w:t>s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 and economic growth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 vary across time and 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between 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countries, and 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examines 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which factors 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are driving this 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decoupling. We 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argue that 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652EEF" w:rsidRPr="00732156">
        <w:rPr>
          <w:rFonts w:ascii="Times New Roman" w:hAnsi="Times New Roman" w:cs="Times New Roman"/>
          <w:sz w:val="24"/>
          <w:szCs w:val="24"/>
        </w:rPr>
        <w:t>c</w:t>
      </w:r>
      <w:r w:rsidR="00277383" w:rsidRPr="00732156">
        <w:rPr>
          <w:rFonts w:ascii="Times New Roman" w:hAnsi="Times New Roman" w:cs="Times New Roman"/>
          <w:sz w:val="24"/>
          <w:szCs w:val="24"/>
        </w:rPr>
        <w:t>arbon pricing</w:t>
      </w:r>
      <w:r w:rsidR="00EA718F" w:rsidRPr="00732156">
        <w:rPr>
          <w:rFonts w:ascii="Times New Roman" w:hAnsi="Times New Roman" w:cs="Times New Roman"/>
          <w:sz w:val="24"/>
          <w:szCs w:val="24"/>
        </w:rPr>
        <w:t xml:space="preserve"> policies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 facilitate</w:t>
      </w:r>
      <w:r w:rsidR="00EF1F78" w:rsidRPr="00732156">
        <w:rPr>
          <w:rFonts w:ascii="Times New Roman" w:hAnsi="Times New Roman" w:cs="Times New Roman"/>
          <w:sz w:val="24"/>
          <w:szCs w:val="24"/>
        </w:rPr>
        <w:t>s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 decoupling</w:t>
      </w:r>
      <w:r w:rsidR="00195B3A" w:rsidRPr="00732156">
        <w:rPr>
          <w:rFonts w:ascii="Times New Roman" w:hAnsi="Times New Roman" w:cs="Times New Roman"/>
          <w:sz w:val="24"/>
          <w:szCs w:val="24"/>
        </w:rPr>
        <w:t>,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96AC1" w:rsidRPr="00732156">
        <w:rPr>
          <w:rFonts w:ascii="Times New Roman" w:hAnsi="Times New Roman" w:cs="Times New Roman"/>
          <w:sz w:val="24"/>
          <w:szCs w:val="24"/>
        </w:rPr>
        <w:t>as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 they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96AC1" w:rsidRPr="00732156">
        <w:rPr>
          <w:rFonts w:ascii="Times New Roman" w:hAnsi="Times New Roman" w:cs="Times New Roman"/>
          <w:sz w:val="24"/>
          <w:szCs w:val="24"/>
        </w:rPr>
        <w:t>are designed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to achieve</w:t>
      </w:r>
      <w:r w:rsidR="00D20EA8" w:rsidRPr="00732156">
        <w:rPr>
          <w:rFonts w:ascii="Times New Roman" w:hAnsi="Times New Roman" w:cs="Times New Roman"/>
          <w:sz w:val="24"/>
          <w:szCs w:val="24"/>
        </w:rPr>
        <w:t xml:space="preserve"> cost-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efficient GHG reduction. 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We analyze </w:t>
      </w:r>
      <w:r w:rsidR="002F0E6A" w:rsidRPr="00732156">
        <w:rPr>
          <w:rFonts w:ascii="Times New Roman" w:hAnsi="Times New Roman" w:cs="Times New Roman"/>
          <w:sz w:val="24"/>
          <w:szCs w:val="24"/>
        </w:rPr>
        <w:t>the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 panel data of 30 European countries between 1996 and 2014 </w:t>
      </w:r>
      <w:r w:rsidR="00296AC1" w:rsidRPr="00732156">
        <w:rPr>
          <w:rFonts w:ascii="Times New Roman" w:hAnsi="Times New Roman" w:cs="Times New Roman"/>
          <w:sz w:val="24"/>
          <w:szCs w:val="24"/>
        </w:rPr>
        <w:t>to examine the relationship</w:t>
      </w:r>
      <w:r w:rsidR="00195B3A" w:rsidRPr="00732156">
        <w:rPr>
          <w:rFonts w:ascii="Times New Roman" w:hAnsi="Times New Roman" w:cs="Times New Roman"/>
          <w:sz w:val="24"/>
          <w:szCs w:val="24"/>
        </w:rPr>
        <w:t>s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 between two carbon pricing policies,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 emission trading</w:t>
      </w:r>
      <w:r w:rsidR="008A32B1">
        <w:rPr>
          <w:rFonts w:ascii="Times New Roman" w:hAnsi="Times New Roman" w:cs="Times New Roman"/>
          <w:sz w:val="24"/>
          <w:szCs w:val="24"/>
        </w:rPr>
        <w:t xml:space="preserve"> 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and carbon tax, </w:t>
      </w:r>
      <w:r w:rsidR="00296AC1" w:rsidRPr="00732156">
        <w:rPr>
          <w:rFonts w:ascii="Times New Roman" w:hAnsi="Times New Roman" w:cs="Times New Roman"/>
          <w:sz w:val="24"/>
          <w:szCs w:val="24"/>
        </w:rPr>
        <w:t>and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 emission intensity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 (</w:t>
      </w:r>
      <w:r w:rsidR="00652EEF" w:rsidRPr="00732156">
        <w:rPr>
          <w:rFonts w:ascii="Times New Roman" w:hAnsi="Times New Roman" w:cs="Times New Roman"/>
          <w:sz w:val="24"/>
          <w:szCs w:val="24"/>
        </w:rPr>
        <w:t>GHG emission</w:t>
      </w:r>
      <w:r w:rsidR="00D75280" w:rsidRPr="00732156">
        <w:rPr>
          <w:rFonts w:ascii="Times New Roman" w:hAnsi="Times New Roman" w:cs="Times New Roman"/>
          <w:sz w:val="24"/>
          <w:szCs w:val="24"/>
        </w:rPr>
        <w:t>s</w:t>
      </w:r>
      <w:r w:rsidR="00652EEF" w:rsidRPr="00732156">
        <w:rPr>
          <w:rFonts w:ascii="Times New Roman" w:hAnsi="Times New Roman" w:cs="Times New Roman"/>
          <w:sz w:val="24"/>
          <w:szCs w:val="24"/>
        </w:rPr>
        <w:t xml:space="preserve"> per unit of GDP</w:t>
      </w:r>
      <w:r w:rsidR="00296AC1" w:rsidRPr="00732156">
        <w:rPr>
          <w:rFonts w:ascii="Times New Roman" w:hAnsi="Times New Roman" w:cs="Times New Roman"/>
          <w:sz w:val="24"/>
          <w:szCs w:val="24"/>
        </w:rPr>
        <w:t>)</w:t>
      </w:r>
      <w:r w:rsidR="004A35BA">
        <w:rPr>
          <w:rFonts w:ascii="Times New Roman" w:hAnsi="Times New Roman" w:cs="Times New Roman"/>
          <w:sz w:val="24"/>
          <w:szCs w:val="24"/>
        </w:rPr>
        <w:t xml:space="preserve"> we use </w:t>
      </w:r>
      <w:bookmarkStart w:id="1" w:name="_GoBack"/>
      <w:bookmarkEnd w:id="1"/>
      <w:r w:rsidR="004A35BA">
        <w:rPr>
          <w:rFonts w:ascii="Times New Roman" w:hAnsi="Times New Roman" w:cs="Times New Roman"/>
          <w:sz w:val="24"/>
          <w:szCs w:val="24"/>
        </w:rPr>
        <w:t xml:space="preserve">to capture </w:t>
      </w:r>
      <w:r w:rsidR="00296AC1" w:rsidRPr="00732156">
        <w:rPr>
          <w:rFonts w:ascii="Times New Roman" w:hAnsi="Times New Roman" w:cs="Times New Roman"/>
          <w:sz w:val="24"/>
          <w:szCs w:val="24"/>
        </w:rPr>
        <w:t>decoupling trend</w:t>
      </w:r>
      <w:r w:rsidR="00195B3A" w:rsidRPr="00732156">
        <w:rPr>
          <w:rFonts w:ascii="Times New Roman" w:hAnsi="Times New Roman" w:cs="Times New Roman"/>
          <w:sz w:val="24"/>
          <w:szCs w:val="24"/>
        </w:rPr>
        <w:t>s</w:t>
      </w:r>
      <w:r w:rsidR="00296AC1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277383" w:rsidRPr="00732156">
        <w:rPr>
          <w:rFonts w:ascii="Times New Roman" w:hAnsi="Times New Roman" w:cs="Times New Roman"/>
          <w:sz w:val="24"/>
          <w:szCs w:val="24"/>
        </w:rPr>
        <w:t>Our result indicates that while controlling for factors that may affect emission intensity</w:t>
      </w:r>
      <w:r w:rsidR="00315EFC" w:rsidRPr="00732156">
        <w:rPr>
          <w:rFonts w:ascii="Times New Roman" w:hAnsi="Times New Roman" w:cs="Times New Roman"/>
          <w:sz w:val="24"/>
          <w:szCs w:val="24"/>
        </w:rPr>
        <w:t>, emission trading contributes to decoupling in all models</w:t>
      </w:r>
      <w:r w:rsidR="00195B3A" w:rsidRPr="00732156">
        <w:rPr>
          <w:rFonts w:ascii="Times New Roman" w:hAnsi="Times New Roman" w:cs="Times New Roman"/>
          <w:sz w:val="24"/>
          <w:szCs w:val="24"/>
        </w:rPr>
        <w:t>,</w:t>
      </w:r>
      <w:r w:rsidR="00315EFC" w:rsidRPr="00732156">
        <w:rPr>
          <w:rFonts w:ascii="Times New Roman" w:hAnsi="Times New Roman" w:cs="Times New Roman"/>
          <w:sz w:val="24"/>
          <w:szCs w:val="24"/>
        </w:rPr>
        <w:t xml:space="preserve"> whereas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315EFC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B60CEA" w:rsidRPr="00732156">
        <w:rPr>
          <w:rFonts w:ascii="Times New Roman" w:hAnsi="Times New Roman" w:cs="Times New Roman"/>
          <w:sz w:val="24"/>
          <w:szCs w:val="24"/>
        </w:rPr>
        <w:t>does not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; this has 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also </w:t>
      </w:r>
      <w:r w:rsidR="00195B3A" w:rsidRPr="00732156">
        <w:rPr>
          <w:rFonts w:ascii="Times New Roman" w:hAnsi="Times New Roman" w:cs="Times New Roman"/>
          <w:sz w:val="24"/>
          <w:szCs w:val="24"/>
        </w:rPr>
        <w:t xml:space="preserve">been 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suggested in previous literature. </w:t>
      </w:r>
      <w:r w:rsidR="00195B3A" w:rsidRPr="00732156">
        <w:rPr>
          <w:rFonts w:ascii="Times New Roman" w:hAnsi="Times New Roman" w:cs="Times New Roman"/>
          <w:sz w:val="24"/>
          <w:szCs w:val="24"/>
        </w:rPr>
        <w:t>Furthermore</w:t>
      </w:r>
      <w:r w:rsidR="00315EFC" w:rsidRPr="00732156">
        <w:rPr>
          <w:rFonts w:ascii="Times New Roman" w:hAnsi="Times New Roman" w:cs="Times New Roman"/>
          <w:sz w:val="24"/>
          <w:szCs w:val="24"/>
        </w:rPr>
        <w:t>, emission trading is negatively associated with GHG emission</w:t>
      </w:r>
      <w:r w:rsidR="00195B3A" w:rsidRPr="00732156">
        <w:rPr>
          <w:rFonts w:ascii="Times New Roman" w:hAnsi="Times New Roman" w:cs="Times New Roman"/>
          <w:sz w:val="24"/>
          <w:szCs w:val="24"/>
        </w:rPr>
        <w:t>s</w:t>
      </w:r>
      <w:r w:rsidR="00315EFC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implying that </w:t>
      </w:r>
      <w:r w:rsidR="00315EFC" w:rsidRPr="00732156">
        <w:rPr>
          <w:rFonts w:ascii="Times New Roman" w:hAnsi="Times New Roman" w:cs="Times New Roman"/>
          <w:sz w:val="24"/>
          <w:szCs w:val="24"/>
        </w:rPr>
        <w:t>it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contribut</w:t>
      </w:r>
      <w:r w:rsidR="00315EFC" w:rsidRPr="00732156">
        <w:rPr>
          <w:rFonts w:ascii="Times New Roman" w:hAnsi="Times New Roman" w:cs="Times New Roman"/>
          <w:sz w:val="24"/>
          <w:szCs w:val="24"/>
        </w:rPr>
        <w:t>es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to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 not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weak</w:t>
      </w:r>
      <w:r w:rsidR="00195B3A" w:rsidRPr="00732156">
        <w:rPr>
          <w:rFonts w:ascii="Times New Roman" w:hAnsi="Times New Roman" w:cs="Times New Roman"/>
          <w:sz w:val="24"/>
          <w:szCs w:val="24"/>
        </w:rPr>
        <w:t>,</w:t>
      </w:r>
      <w:r w:rsidR="0027738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AA17A6" w:rsidRPr="00732156">
        <w:rPr>
          <w:rFonts w:ascii="Times New Roman" w:hAnsi="Times New Roman" w:cs="Times New Roman"/>
          <w:sz w:val="24"/>
          <w:szCs w:val="24"/>
        </w:rPr>
        <w:t xml:space="preserve">but strong decoupling </w:t>
      </w:r>
      <w:r w:rsidR="00277383" w:rsidRPr="00732156">
        <w:rPr>
          <w:rFonts w:ascii="Times New Roman" w:hAnsi="Times New Roman" w:cs="Times New Roman"/>
          <w:sz w:val="24"/>
          <w:szCs w:val="24"/>
        </w:rPr>
        <w:t>of economic growth from GHG emission</w:t>
      </w:r>
      <w:r w:rsidR="00195B3A" w:rsidRPr="00732156">
        <w:rPr>
          <w:rFonts w:ascii="Times New Roman" w:hAnsi="Times New Roman" w:cs="Times New Roman"/>
          <w:sz w:val="24"/>
          <w:szCs w:val="24"/>
        </w:rPr>
        <w:t>s</w:t>
      </w:r>
      <w:r w:rsidR="00AA17A6" w:rsidRPr="00732156">
        <w:rPr>
          <w:rFonts w:ascii="Times New Roman" w:hAnsi="Times New Roman" w:cs="Times New Roman"/>
          <w:sz w:val="24"/>
          <w:szCs w:val="24"/>
        </w:rPr>
        <w:t>.</w:t>
      </w:r>
    </w:p>
    <w:p w14:paraId="45143270" w14:textId="77777777" w:rsidR="00296AC1" w:rsidRPr="00732156" w:rsidRDefault="00296AC1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343D6BFE" w14:textId="77777777" w:rsidR="00AA17A6" w:rsidRPr="00732156" w:rsidRDefault="00AA17A6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4C9F0" w14:textId="281084AC" w:rsidR="002F0E6A" w:rsidRPr="00732156" w:rsidRDefault="00AA17A6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Keywords: </w:t>
      </w:r>
      <w:r w:rsidR="00E93D0A" w:rsidRPr="00732156">
        <w:rPr>
          <w:rFonts w:ascii="Times New Roman" w:hAnsi="Times New Roman" w:cs="Times New Roman"/>
          <w:sz w:val="24"/>
          <w:szCs w:val="24"/>
        </w:rPr>
        <w:t xml:space="preserve">Decoupling, </w:t>
      </w:r>
      <w:r w:rsidR="002F0E6A" w:rsidRPr="00732156">
        <w:rPr>
          <w:rFonts w:ascii="Times New Roman" w:hAnsi="Times New Roman" w:cs="Times New Roman"/>
          <w:sz w:val="24"/>
          <w:szCs w:val="24"/>
        </w:rPr>
        <w:t>Car</w:t>
      </w:r>
      <w:r w:rsidRPr="00732156">
        <w:rPr>
          <w:rFonts w:ascii="Times New Roman" w:hAnsi="Times New Roman" w:cs="Times New Roman"/>
          <w:sz w:val="24"/>
          <w:szCs w:val="24"/>
        </w:rPr>
        <w:t xml:space="preserve">bon pricing, </w:t>
      </w:r>
      <w:r w:rsidR="00EC1A8E" w:rsidRPr="00732156">
        <w:rPr>
          <w:rFonts w:ascii="Times New Roman" w:hAnsi="Times New Roman" w:cs="Times New Roman"/>
          <w:sz w:val="24"/>
          <w:szCs w:val="24"/>
        </w:rPr>
        <w:t>e</w:t>
      </w:r>
      <w:r w:rsidRPr="00732156">
        <w:rPr>
          <w:rFonts w:ascii="Times New Roman" w:hAnsi="Times New Roman" w:cs="Times New Roman"/>
          <w:sz w:val="24"/>
          <w:szCs w:val="24"/>
        </w:rPr>
        <w:t xml:space="preserve">mission trading, </w:t>
      </w:r>
      <w:r w:rsidR="00EC1A8E" w:rsidRPr="00732156">
        <w:rPr>
          <w:rFonts w:ascii="Times New Roman" w:hAnsi="Times New Roman" w:cs="Times New Roman"/>
          <w:sz w:val="24"/>
          <w:szCs w:val="24"/>
        </w:rPr>
        <w:t>c</w:t>
      </w:r>
      <w:r w:rsidRPr="00732156">
        <w:rPr>
          <w:rFonts w:ascii="Times New Roman" w:hAnsi="Times New Roman" w:cs="Times New Roman"/>
          <w:sz w:val="24"/>
          <w:szCs w:val="24"/>
        </w:rPr>
        <w:t xml:space="preserve">arbon tax, </w:t>
      </w:r>
      <w:r w:rsidR="00EC1A8E" w:rsidRPr="00732156">
        <w:rPr>
          <w:rFonts w:ascii="Times New Roman" w:hAnsi="Times New Roman" w:cs="Times New Roman"/>
          <w:sz w:val="24"/>
          <w:szCs w:val="24"/>
        </w:rPr>
        <w:t>e</w:t>
      </w:r>
      <w:r w:rsidRPr="00732156">
        <w:rPr>
          <w:rFonts w:ascii="Times New Roman" w:hAnsi="Times New Roman" w:cs="Times New Roman"/>
          <w:sz w:val="24"/>
          <w:szCs w:val="24"/>
        </w:rPr>
        <w:t>mission intensity</w:t>
      </w:r>
      <w:r w:rsidR="00FF45C6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C1A8E" w:rsidRPr="00732156">
        <w:rPr>
          <w:rFonts w:ascii="Times New Roman" w:hAnsi="Times New Roman" w:cs="Times New Roman"/>
          <w:sz w:val="24"/>
          <w:szCs w:val="24"/>
        </w:rPr>
        <w:t>c</w:t>
      </w:r>
      <w:r w:rsidRPr="00732156">
        <w:rPr>
          <w:rFonts w:ascii="Times New Roman" w:hAnsi="Times New Roman" w:cs="Times New Roman"/>
          <w:sz w:val="24"/>
          <w:szCs w:val="24"/>
        </w:rPr>
        <w:t>limate change mitigation</w:t>
      </w:r>
    </w:p>
    <w:p w14:paraId="708AA896" w14:textId="77777777" w:rsidR="00EF1F78" w:rsidRPr="00732156" w:rsidRDefault="00EF1F78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F8851" w14:textId="2323DE32" w:rsidR="00EB09FE" w:rsidRPr="00732156" w:rsidRDefault="00054748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Word count</w:t>
      </w:r>
      <w:r w:rsidR="00EF1F78" w:rsidRPr="00732156">
        <w:rPr>
          <w:rFonts w:ascii="Times New Roman" w:hAnsi="Times New Roman" w:cs="Times New Roman"/>
          <w:sz w:val="24"/>
          <w:szCs w:val="24"/>
        </w:rPr>
        <w:t>: 6,</w:t>
      </w:r>
      <w:r w:rsidR="00D769B3">
        <w:rPr>
          <w:rFonts w:ascii="Times New Roman" w:hAnsi="Times New Roman" w:cs="Times New Roman"/>
          <w:sz w:val="24"/>
          <w:szCs w:val="24"/>
        </w:rPr>
        <w:t>463</w:t>
      </w:r>
    </w:p>
    <w:p w14:paraId="6A5935F6" w14:textId="7B2346A7" w:rsidR="00EB09FE" w:rsidRPr="00732156" w:rsidRDefault="00EB09FE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A70D4" w14:textId="0FA727BF" w:rsidR="00296AC1" w:rsidRPr="00732156" w:rsidRDefault="00296AC1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AC7CBE" w14:textId="77777777" w:rsidR="00296AC1" w:rsidRPr="00732156" w:rsidRDefault="00296AC1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1778E" w14:textId="77777777" w:rsidR="00B60CEA" w:rsidRPr="00732156" w:rsidRDefault="00B60CEA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A6A70" w14:textId="1CBE7874" w:rsidR="00DB270C" w:rsidRPr="00732156" w:rsidRDefault="002F0E6A" w:rsidP="002F0E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15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7724365" w14:textId="223FCEE2" w:rsidR="00E9275A" w:rsidRPr="00732156" w:rsidRDefault="000A74F9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It is imperative to mitigate GHG emissions to meet the Paris Agreement target</w:t>
      </w:r>
      <w:r w:rsidR="003B0151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3B0151" w:rsidRPr="00732156">
        <w:rPr>
          <w:rFonts w:ascii="Times New Roman" w:hAnsi="Times New Roman" w:cs="Times New Roman"/>
          <w:sz w:val="24"/>
          <w:szCs w:val="24"/>
        </w:rPr>
        <w:t xml:space="preserve">to ensure </w:t>
      </w:r>
      <w:r w:rsidR="007C432A" w:rsidRPr="00732156">
        <w:rPr>
          <w:rFonts w:ascii="Times New Roman" w:hAnsi="Times New Roman" w:cs="Times New Roman"/>
          <w:sz w:val="24"/>
          <w:szCs w:val="24"/>
        </w:rPr>
        <w:t xml:space="preserve">sustainability both in 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present and </w:t>
      </w:r>
      <w:r w:rsidR="007C432A" w:rsidRPr="00732156">
        <w:rPr>
          <w:rFonts w:ascii="Times New Roman" w:hAnsi="Times New Roman" w:cs="Times New Roman"/>
          <w:sz w:val="24"/>
          <w:szCs w:val="24"/>
        </w:rPr>
        <w:t xml:space="preserve">in 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future. However,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concern that mitigation </w:t>
      </w:r>
      <w:r w:rsidR="00EA4822" w:rsidRPr="00732156">
        <w:rPr>
          <w:rFonts w:ascii="Times New Roman" w:hAnsi="Times New Roman" w:cs="Times New Roman"/>
          <w:sz w:val="24"/>
          <w:szCs w:val="24"/>
        </w:rPr>
        <w:t xml:space="preserve">may </w:t>
      </w:r>
      <w:r w:rsidR="00415E9F" w:rsidRPr="00732156">
        <w:rPr>
          <w:rFonts w:ascii="Times New Roman" w:hAnsi="Times New Roman" w:cs="Times New Roman"/>
          <w:sz w:val="24"/>
          <w:szCs w:val="24"/>
        </w:rPr>
        <w:t>dampen</w:t>
      </w:r>
      <w:r w:rsidRPr="00732156">
        <w:rPr>
          <w:rFonts w:ascii="Times New Roman" w:hAnsi="Times New Roman" w:cs="Times New Roman"/>
          <w:sz w:val="24"/>
          <w:szCs w:val="24"/>
        </w:rPr>
        <w:t xml:space="preserve"> economic growth and prosperity </w:t>
      </w:r>
      <w:r w:rsidR="00EA4822" w:rsidRPr="00732156">
        <w:rPr>
          <w:rFonts w:ascii="Times New Roman" w:hAnsi="Times New Roman" w:cs="Times New Roman"/>
          <w:sz w:val="24"/>
          <w:szCs w:val="24"/>
        </w:rPr>
        <w:t>has</w:t>
      </w:r>
      <w:r w:rsidR="00194667" w:rsidRPr="00732156">
        <w:rPr>
          <w:rFonts w:ascii="Times New Roman" w:hAnsi="Times New Roman" w:cs="Times New Roman"/>
          <w:sz w:val="24"/>
          <w:szCs w:val="24"/>
        </w:rPr>
        <w:t xml:space="preserve"> been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194667" w:rsidRPr="00732156">
        <w:rPr>
          <w:rFonts w:ascii="Times New Roman" w:hAnsi="Times New Roman" w:cs="Times New Roman"/>
          <w:sz w:val="24"/>
          <w:szCs w:val="24"/>
        </w:rPr>
        <w:t xml:space="preserve">primary obstacle for </w:t>
      </w:r>
      <w:r w:rsidR="005E3374" w:rsidRPr="00732156">
        <w:rPr>
          <w:rFonts w:ascii="Times New Roman" w:hAnsi="Times New Roman" w:cs="Times New Roman"/>
          <w:sz w:val="24"/>
          <w:szCs w:val="24"/>
        </w:rPr>
        <w:t>active</w:t>
      </w:r>
      <w:r w:rsidR="00194667" w:rsidRPr="00732156">
        <w:rPr>
          <w:rFonts w:ascii="Times New Roman" w:hAnsi="Times New Roman" w:cs="Times New Roman"/>
          <w:sz w:val="24"/>
          <w:szCs w:val="24"/>
        </w:rPr>
        <w:t xml:space="preserve"> mitigation </w:t>
      </w:r>
      <w:r w:rsidR="005E3374" w:rsidRPr="00732156">
        <w:rPr>
          <w:rFonts w:ascii="Times New Roman" w:hAnsi="Times New Roman" w:cs="Times New Roman"/>
          <w:sz w:val="24"/>
          <w:szCs w:val="24"/>
        </w:rPr>
        <w:t>efforts</w:t>
      </w:r>
      <w:r w:rsidR="00194667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50169E" w:rsidRPr="00732156">
        <w:rPr>
          <w:rFonts w:ascii="Times New Roman" w:hAnsi="Times New Roman" w:cs="Times New Roman"/>
          <w:sz w:val="24"/>
          <w:szCs w:val="24"/>
        </w:rPr>
        <w:t xml:space="preserve">Decoupling in the context of climate policy literature and government regulation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refers </w:t>
      </w:r>
      <w:r w:rsidR="0050169E" w:rsidRPr="00732156">
        <w:rPr>
          <w:rFonts w:ascii="Times New Roman" w:hAnsi="Times New Roman" w:cs="Times New Roman"/>
          <w:sz w:val="24"/>
          <w:szCs w:val="24"/>
        </w:rPr>
        <w:t xml:space="preserve">to the trend </w:t>
      </w:r>
      <w:r w:rsidR="00CF1B22" w:rsidRPr="00732156">
        <w:rPr>
          <w:rFonts w:ascii="Times New Roman" w:hAnsi="Times New Roman" w:cs="Times New Roman"/>
          <w:sz w:val="24"/>
          <w:szCs w:val="24"/>
        </w:rPr>
        <w:t>whereby</w:t>
      </w:r>
      <w:r w:rsidR="0050169E" w:rsidRPr="00732156">
        <w:rPr>
          <w:rFonts w:ascii="Times New Roman" w:hAnsi="Times New Roman" w:cs="Times New Roman"/>
          <w:sz w:val="24"/>
          <w:szCs w:val="24"/>
        </w:rPr>
        <w:t xml:space="preserve"> GHG emissions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decrease without </w:t>
      </w:r>
      <w:r w:rsidR="0050169E" w:rsidRPr="00732156">
        <w:rPr>
          <w:rFonts w:ascii="Times New Roman" w:hAnsi="Times New Roman" w:cs="Times New Roman"/>
          <w:sz w:val="24"/>
          <w:szCs w:val="24"/>
        </w:rPr>
        <w:t>economic growth being undermined</w:t>
      </w:r>
      <w:r w:rsidR="00C560E4" w:rsidRPr="00732156">
        <w:rPr>
          <w:rFonts w:ascii="Times New Roman" w:hAnsi="Times New Roman" w:cs="Times New Roman"/>
          <w:sz w:val="24"/>
          <w:szCs w:val="24"/>
        </w:rPr>
        <w:t xml:space="preserve"> (Andreo</w:t>
      </w:r>
      <w:r w:rsidR="001B63B3" w:rsidRPr="00732156">
        <w:rPr>
          <w:rFonts w:ascii="Times New Roman" w:hAnsi="Times New Roman" w:cs="Times New Roman"/>
          <w:sz w:val="24"/>
          <w:szCs w:val="24"/>
        </w:rPr>
        <w:t>n</w:t>
      </w:r>
      <w:r w:rsidR="00C560E4" w:rsidRPr="00732156">
        <w:rPr>
          <w:rFonts w:ascii="Times New Roman" w:hAnsi="Times New Roman" w:cs="Times New Roman"/>
          <w:sz w:val="24"/>
          <w:szCs w:val="24"/>
        </w:rPr>
        <w:t>i</w:t>
      </w:r>
      <w:r w:rsidR="006751E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96AC1" w:rsidRPr="00732156">
        <w:rPr>
          <w:rFonts w:ascii="Times New Roman" w:hAnsi="Times New Roman" w:cs="Times New Roman"/>
          <w:sz w:val="24"/>
          <w:szCs w:val="24"/>
        </w:rPr>
        <w:t>and</w:t>
      </w:r>
      <w:r w:rsidR="006751E0" w:rsidRPr="00732156">
        <w:rPr>
          <w:rFonts w:ascii="Times New Roman" w:hAnsi="Times New Roman" w:cs="Times New Roman"/>
          <w:sz w:val="24"/>
          <w:szCs w:val="24"/>
        </w:rPr>
        <w:t xml:space="preserve"> Galmarini</w:t>
      </w:r>
      <w:r w:rsidR="00C560E4" w:rsidRPr="00732156">
        <w:rPr>
          <w:rFonts w:ascii="Times New Roman" w:hAnsi="Times New Roman" w:cs="Times New Roman"/>
          <w:sz w:val="24"/>
          <w:szCs w:val="24"/>
        </w:rPr>
        <w:t xml:space="preserve"> 2012; Jorgenson</w:t>
      </w:r>
      <w:r w:rsidR="00C4577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96AC1" w:rsidRPr="00732156">
        <w:rPr>
          <w:rFonts w:ascii="Times New Roman" w:hAnsi="Times New Roman" w:cs="Times New Roman"/>
          <w:sz w:val="24"/>
          <w:szCs w:val="24"/>
        </w:rPr>
        <w:t>and</w:t>
      </w:r>
      <w:r w:rsidR="00C45770" w:rsidRPr="00732156">
        <w:rPr>
          <w:rFonts w:ascii="Times New Roman" w:hAnsi="Times New Roman" w:cs="Times New Roman"/>
          <w:sz w:val="24"/>
          <w:szCs w:val="24"/>
        </w:rPr>
        <w:t xml:space="preserve"> Clark</w:t>
      </w:r>
      <w:r w:rsidR="00C560E4" w:rsidRPr="00732156">
        <w:rPr>
          <w:rFonts w:ascii="Times New Roman" w:hAnsi="Times New Roman" w:cs="Times New Roman"/>
          <w:sz w:val="24"/>
          <w:szCs w:val="24"/>
        </w:rPr>
        <w:t xml:space="preserve"> 2012)</w:t>
      </w:r>
      <w:r w:rsidR="00E9275A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7B01D6" w:rsidRPr="00732156">
        <w:rPr>
          <w:rFonts w:ascii="Times New Roman" w:hAnsi="Times New Roman" w:cs="Times New Roman"/>
          <w:sz w:val="24"/>
          <w:szCs w:val="24"/>
        </w:rPr>
        <w:t xml:space="preserve">Achieving 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7B01D6" w:rsidRPr="00732156">
        <w:rPr>
          <w:rFonts w:ascii="Times New Roman" w:hAnsi="Times New Roman" w:cs="Times New Roman"/>
          <w:sz w:val="24"/>
          <w:szCs w:val="24"/>
        </w:rPr>
        <w:t xml:space="preserve">decoupling trend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has been </w:t>
      </w:r>
      <w:r w:rsidR="007B01D6" w:rsidRPr="00732156">
        <w:rPr>
          <w:rFonts w:ascii="Times New Roman" w:hAnsi="Times New Roman" w:cs="Times New Roman"/>
          <w:sz w:val="24"/>
          <w:szCs w:val="24"/>
        </w:rPr>
        <w:t xml:space="preserve">widely discussed as a </w:t>
      </w:r>
      <w:r w:rsidR="00CF1B22" w:rsidRPr="00732156">
        <w:rPr>
          <w:rFonts w:ascii="Times New Roman" w:hAnsi="Times New Roman" w:cs="Times New Roman"/>
          <w:sz w:val="24"/>
          <w:szCs w:val="24"/>
        </w:rPr>
        <w:t xml:space="preserve">potential </w:t>
      </w:r>
      <w:r w:rsidR="007B01D6" w:rsidRPr="00732156">
        <w:rPr>
          <w:rFonts w:ascii="Times New Roman" w:hAnsi="Times New Roman" w:cs="Times New Roman"/>
          <w:sz w:val="24"/>
          <w:szCs w:val="24"/>
        </w:rPr>
        <w:t xml:space="preserve">breakthrough for 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7B01D6" w:rsidRPr="00732156">
        <w:rPr>
          <w:rFonts w:ascii="Times New Roman" w:hAnsi="Times New Roman" w:cs="Times New Roman"/>
          <w:sz w:val="24"/>
          <w:szCs w:val="24"/>
        </w:rPr>
        <w:t xml:space="preserve">global climate change problem. </w:t>
      </w:r>
    </w:p>
    <w:p w14:paraId="43B84304" w14:textId="582A20EB" w:rsidR="008D5E62" w:rsidRPr="00732156" w:rsidRDefault="006876BC" w:rsidP="008D5E62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However,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in </w:t>
      </w:r>
      <w:r w:rsidRPr="00732156">
        <w:rPr>
          <w:rFonts w:ascii="Times New Roman" w:hAnsi="Times New Roman" w:cs="Times New Roman"/>
          <w:sz w:val="24"/>
          <w:szCs w:val="24"/>
        </w:rPr>
        <w:t>reality</w:t>
      </w:r>
      <w:r w:rsidR="00AE330F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the current scenario </w:t>
      </w:r>
      <w:r w:rsidRPr="00732156">
        <w:rPr>
          <w:rFonts w:ascii="Times New Roman" w:hAnsi="Times New Roman" w:cs="Times New Roman"/>
          <w:sz w:val="24"/>
          <w:szCs w:val="24"/>
        </w:rPr>
        <w:t xml:space="preserve">does not conform to the </w:t>
      </w:r>
      <w:r w:rsidR="00102A82" w:rsidRPr="00732156">
        <w:rPr>
          <w:rFonts w:ascii="Times New Roman" w:hAnsi="Times New Roman" w:cs="Times New Roman"/>
          <w:sz w:val="24"/>
          <w:szCs w:val="24"/>
        </w:rPr>
        <w:t>idealistic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discourse regarding </w:t>
      </w:r>
      <w:r w:rsidRPr="00732156">
        <w:rPr>
          <w:rFonts w:ascii="Times New Roman" w:hAnsi="Times New Roman" w:cs="Times New Roman"/>
          <w:sz w:val="24"/>
          <w:szCs w:val="24"/>
        </w:rPr>
        <w:t xml:space="preserve">decoupling: </w:t>
      </w:r>
      <w:r w:rsidR="00102A82" w:rsidRPr="00732156">
        <w:rPr>
          <w:rFonts w:ascii="Times New Roman" w:hAnsi="Times New Roman" w:cs="Times New Roman"/>
          <w:sz w:val="24"/>
          <w:szCs w:val="24"/>
        </w:rPr>
        <w:t>m</w:t>
      </w:r>
      <w:r w:rsidRPr="00732156">
        <w:rPr>
          <w:rFonts w:ascii="Times New Roman" w:hAnsi="Times New Roman" w:cs="Times New Roman"/>
          <w:sz w:val="24"/>
          <w:szCs w:val="24"/>
        </w:rPr>
        <w:t xml:space="preserve">eaningful empirical variation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exists in </w:t>
      </w:r>
      <w:r w:rsidRPr="00732156">
        <w:rPr>
          <w:rFonts w:ascii="Times New Roman" w:hAnsi="Times New Roman" w:cs="Times New Roman"/>
          <w:sz w:val="24"/>
          <w:szCs w:val="24"/>
        </w:rPr>
        <w:t xml:space="preserve">the degree of decoupling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in different </w:t>
      </w:r>
      <w:r w:rsidRPr="00732156">
        <w:rPr>
          <w:rFonts w:ascii="Times New Roman" w:hAnsi="Times New Roman" w:cs="Times New Roman"/>
          <w:sz w:val="24"/>
          <w:szCs w:val="24"/>
        </w:rPr>
        <w:t>countries. Even among European countries</w:t>
      </w:r>
      <w:r w:rsidR="00102A82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which </w:t>
      </w:r>
      <w:r w:rsidRPr="00732156">
        <w:rPr>
          <w:rFonts w:ascii="Times New Roman" w:hAnsi="Times New Roman" w:cs="Times New Roman"/>
          <w:sz w:val="24"/>
          <w:szCs w:val="24"/>
        </w:rPr>
        <w:t xml:space="preserve">have been most active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732156">
        <w:rPr>
          <w:rFonts w:ascii="Times New Roman" w:hAnsi="Times New Roman" w:cs="Times New Roman"/>
          <w:sz w:val="24"/>
          <w:szCs w:val="24"/>
        </w:rPr>
        <w:t>GHG mitigation, Figure 1 shows that some countries</w:t>
      </w:r>
      <w:r w:rsidR="00E97DC5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97DC5" w:rsidRPr="00732156">
        <w:rPr>
          <w:rFonts w:ascii="Times New Roman" w:hAnsi="Times New Roman" w:cs="Times New Roman"/>
          <w:sz w:val="24"/>
          <w:szCs w:val="24"/>
        </w:rPr>
        <w:t xml:space="preserve">such as </w:t>
      </w:r>
      <w:r w:rsidRPr="00732156">
        <w:rPr>
          <w:rFonts w:ascii="Times New Roman" w:hAnsi="Times New Roman" w:cs="Times New Roman"/>
          <w:sz w:val="24"/>
          <w:szCs w:val="24"/>
        </w:rPr>
        <w:t xml:space="preserve">Sweden or 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>United Kingdom</w:t>
      </w:r>
      <w:r w:rsidR="00E97DC5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have largely achieve</w:t>
      </w:r>
      <w:r w:rsidR="00EF1F78" w:rsidRPr="00732156">
        <w:rPr>
          <w:rFonts w:ascii="Times New Roman" w:hAnsi="Times New Roman" w:cs="Times New Roman"/>
          <w:sz w:val="24"/>
          <w:szCs w:val="24"/>
        </w:rPr>
        <w:t>d</w:t>
      </w:r>
      <w:r w:rsidRPr="00732156">
        <w:rPr>
          <w:rFonts w:ascii="Times New Roman" w:hAnsi="Times New Roman" w:cs="Times New Roman"/>
          <w:sz w:val="24"/>
          <w:szCs w:val="24"/>
        </w:rPr>
        <w:t xml:space="preserve"> decoupling, </w:t>
      </w:r>
      <w:r w:rsidR="00E97DC5" w:rsidRPr="00732156">
        <w:rPr>
          <w:rFonts w:ascii="Times New Roman" w:hAnsi="Times New Roman" w:cs="Times New Roman"/>
          <w:sz w:val="24"/>
          <w:szCs w:val="24"/>
        </w:rPr>
        <w:t xml:space="preserve">whereas </w:t>
      </w:r>
      <w:r w:rsidRPr="00732156">
        <w:rPr>
          <w:rFonts w:ascii="Times New Roman" w:hAnsi="Times New Roman" w:cs="Times New Roman"/>
          <w:sz w:val="24"/>
          <w:szCs w:val="24"/>
        </w:rPr>
        <w:t>others</w:t>
      </w:r>
      <w:r w:rsidR="00E97DC5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97DC5" w:rsidRPr="00732156">
        <w:rPr>
          <w:rFonts w:ascii="Times New Roman" w:hAnsi="Times New Roman" w:cs="Times New Roman"/>
          <w:sz w:val="24"/>
          <w:szCs w:val="24"/>
        </w:rPr>
        <w:t xml:space="preserve">such as </w:t>
      </w:r>
      <w:r w:rsidRPr="00732156">
        <w:rPr>
          <w:rFonts w:ascii="Times New Roman" w:hAnsi="Times New Roman" w:cs="Times New Roman"/>
          <w:sz w:val="24"/>
          <w:szCs w:val="24"/>
        </w:rPr>
        <w:t>Italy or Portugal</w:t>
      </w:r>
      <w:r w:rsidR="00E97DC5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have not.</w:t>
      </w:r>
      <w:r w:rsidR="00E544DD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It is therefore important to determine which </w:t>
      </w:r>
      <w:r w:rsidR="00E544DD" w:rsidRPr="00732156">
        <w:rPr>
          <w:rFonts w:ascii="Times New Roman" w:hAnsi="Times New Roman" w:cs="Times New Roman"/>
          <w:sz w:val="24"/>
          <w:szCs w:val="24"/>
        </w:rPr>
        <w:t>factors</w:t>
      </w:r>
      <w:r w:rsidR="002D52F6" w:rsidRPr="00732156">
        <w:rPr>
          <w:rFonts w:ascii="Times New Roman" w:hAnsi="Times New Roman" w:cs="Times New Roman"/>
          <w:sz w:val="24"/>
          <w:szCs w:val="24"/>
        </w:rPr>
        <w:t>, all else being equal,</w:t>
      </w:r>
      <w:r w:rsidR="00E544DD" w:rsidRPr="00732156">
        <w:rPr>
          <w:rFonts w:ascii="Times New Roman" w:hAnsi="Times New Roman" w:cs="Times New Roman"/>
          <w:sz w:val="24"/>
          <w:szCs w:val="24"/>
        </w:rPr>
        <w:t xml:space="preserve"> drive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a</w:t>
      </w:r>
      <w:r w:rsidR="00E544DD" w:rsidRPr="00732156">
        <w:rPr>
          <w:rFonts w:ascii="Times New Roman" w:hAnsi="Times New Roman" w:cs="Times New Roman"/>
          <w:sz w:val="24"/>
          <w:szCs w:val="24"/>
        </w:rPr>
        <w:t xml:space="preserve"> decoupling</w:t>
      </w:r>
      <w:r w:rsidR="0048131B" w:rsidRPr="00732156">
        <w:rPr>
          <w:rFonts w:ascii="Times New Roman" w:hAnsi="Times New Roman" w:cs="Times New Roman"/>
          <w:sz w:val="24"/>
          <w:szCs w:val="24"/>
        </w:rPr>
        <w:t xml:space="preserve"> trend in a country</w:t>
      </w:r>
      <w:r w:rsidR="00102A82" w:rsidRPr="0073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88399" w14:textId="77777777" w:rsidR="008D5E62" w:rsidRPr="00732156" w:rsidRDefault="008D5E62" w:rsidP="008D5E62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</w:p>
    <w:p w14:paraId="376E7A3B" w14:textId="633DB2B5" w:rsidR="00DB6806" w:rsidRPr="00732156" w:rsidRDefault="008D5E62" w:rsidP="00DA7CFB">
      <w:pPr>
        <w:spacing w:line="360" w:lineRule="auto"/>
        <w:ind w:firstLineChars="50" w:firstLine="108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Figure 1. Time-series graph</w:t>
      </w:r>
      <w:r w:rsidR="00E97DC5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97DC5" w:rsidRPr="00732156">
        <w:rPr>
          <w:rFonts w:ascii="Times New Roman" w:hAnsi="Times New Roman" w:cs="Times New Roman"/>
          <w:sz w:val="24"/>
          <w:szCs w:val="24"/>
        </w:rPr>
        <w:t xml:space="preserve">showing </w:t>
      </w:r>
      <w:r w:rsidRPr="00732156">
        <w:rPr>
          <w:rFonts w:ascii="Times New Roman" w:hAnsi="Times New Roman" w:cs="Times New Roman"/>
          <w:sz w:val="24"/>
          <w:szCs w:val="24"/>
        </w:rPr>
        <w:t>decoupling in 30 European countries, 1996-2014</w:t>
      </w:r>
      <w:r w:rsidR="004B5AE1" w:rsidRPr="00732156">
        <w:rPr>
          <w:rFonts w:ascii="Times New Roman" w:hAnsi="Times New Roman" w:cs="Times New Roman"/>
          <w:sz w:val="24"/>
          <w:szCs w:val="24"/>
        </w:rPr>
        <w:t>.</w:t>
      </w:r>
    </w:p>
    <w:p w14:paraId="45E907C8" w14:textId="52476179" w:rsidR="00DB6806" w:rsidRPr="00732156" w:rsidRDefault="00186708" w:rsidP="00984C37">
      <w:pPr>
        <w:spacing w:line="360" w:lineRule="auto"/>
        <w:ind w:firstLineChars="50" w:firstLine="99"/>
        <w:rPr>
          <w:rFonts w:ascii="Times New Roman" w:hAnsi="Times New Roman" w:cs="Times New Roman"/>
          <w:sz w:val="24"/>
          <w:szCs w:val="24"/>
        </w:rPr>
      </w:pPr>
      <w:r w:rsidRPr="00732156">
        <w:rPr>
          <w:noProof/>
          <w:lang w:eastAsia="en-GB"/>
        </w:rPr>
        <w:drawing>
          <wp:inline distT="0" distB="0" distL="0" distR="0" wp14:anchorId="1403C731" wp14:editId="7A4CB8AC">
            <wp:extent cx="5731510" cy="30702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6354" w14:textId="524C25B6" w:rsidR="0071212F" w:rsidRPr="00732156" w:rsidRDefault="0071212F" w:rsidP="00DA7CFB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32156">
        <w:rPr>
          <w:rFonts w:ascii="Times New Roman" w:hAnsi="Times New Roman" w:cs="Times New Roman"/>
          <w:sz w:val="21"/>
          <w:szCs w:val="21"/>
        </w:rPr>
        <w:lastRenderedPageBreak/>
        <w:t xml:space="preserve">(1.0= 1996 value, the solid line is </w:t>
      </w:r>
      <w:r w:rsidR="004E7C33" w:rsidRPr="00732156">
        <w:rPr>
          <w:rFonts w:ascii="Times New Roman" w:hAnsi="Times New Roman" w:cs="Times New Roman"/>
          <w:sz w:val="21"/>
          <w:szCs w:val="21"/>
        </w:rPr>
        <w:t xml:space="preserve">the </w:t>
      </w:r>
      <w:r w:rsidRPr="00732156">
        <w:rPr>
          <w:rFonts w:ascii="Times New Roman" w:hAnsi="Times New Roman" w:cs="Times New Roman"/>
          <w:sz w:val="21"/>
          <w:szCs w:val="21"/>
        </w:rPr>
        <w:t xml:space="preserve">real GDP </w:t>
      </w:r>
      <w:r w:rsidR="004E7C33" w:rsidRPr="00732156">
        <w:rPr>
          <w:rFonts w:ascii="Times New Roman" w:hAnsi="Times New Roman" w:cs="Times New Roman"/>
          <w:sz w:val="21"/>
          <w:szCs w:val="21"/>
        </w:rPr>
        <w:t xml:space="preserve">(US$ </w:t>
      </w:r>
      <w:r w:rsidRPr="00732156">
        <w:rPr>
          <w:rFonts w:ascii="Times New Roman" w:hAnsi="Times New Roman" w:cs="Times New Roman"/>
          <w:sz w:val="21"/>
          <w:szCs w:val="21"/>
        </w:rPr>
        <w:t>2010 constant</w:t>
      </w:r>
      <w:r w:rsidR="004E7C33" w:rsidRPr="00732156">
        <w:rPr>
          <w:rFonts w:ascii="Times New Roman" w:hAnsi="Times New Roman" w:cs="Times New Roman"/>
          <w:sz w:val="21"/>
          <w:szCs w:val="21"/>
        </w:rPr>
        <w:t>)</w:t>
      </w:r>
      <w:r w:rsidRPr="00732156">
        <w:rPr>
          <w:rFonts w:ascii="Times New Roman" w:hAnsi="Times New Roman" w:cs="Times New Roman"/>
          <w:sz w:val="21"/>
          <w:szCs w:val="21"/>
        </w:rPr>
        <w:t xml:space="preserve">, and the dotted line is GHG </w:t>
      </w:r>
      <w:r w:rsidR="004E7C33" w:rsidRPr="00732156">
        <w:rPr>
          <w:rFonts w:ascii="Times New Roman" w:hAnsi="Times New Roman" w:cs="Times New Roman"/>
          <w:sz w:val="21"/>
          <w:szCs w:val="21"/>
        </w:rPr>
        <w:t>(</w:t>
      </w:r>
      <w:r w:rsidRPr="00732156">
        <w:rPr>
          <w:rFonts w:ascii="Times New Roman" w:hAnsi="Times New Roman" w:cs="Times New Roman"/>
          <w:sz w:val="21"/>
          <w:szCs w:val="21"/>
        </w:rPr>
        <w:t>tCO</w:t>
      </w:r>
      <w:r w:rsidRPr="00732156">
        <w:rPr>
          <w:rFonts w:ascii="Times New Roman" w:hAnsi="Times New Roman" w:cs="Times New Roman"/>
          <w:sz w:val="21"/>
          <w:szCs w:val="21"/>
          <w:vertAlign w:val="subscript"/>
        </w:rPr>
        <w:t>2eq</w:t>
      </w:r>
      <w:r w:rsidRPr="00732156">
        <w:rPr>
          <w:rFonts w:ascii="Times New Roman" w:hAnsi="Times New Roman" w:cs="Times New Roman"/>
          <w:sz w:val="21"/>
          <w:szCs w:val="21"/>
        </w:rPr>
        <w:t>)</w:t>
      </w:r>
      <w:r w:rsidR="00E97DC5" w:rsidRPr="00732156">
        <w:rPr>
          <w:rFonts w:ascii="Times New Roman" w:hAnsi="Times New Roman" w:cs="Times New Roman"/>
          <w:sz w:val="21"/>
          <w:szCs w:val="21"/>
        </w:rPr>
        <w:t>)</w:t>
      </w:r>
      <w:r w:rsidR="004E7C33" w:rsidRPr="00732156">
        <w:rPr>
          <w:rFonts w:ascii="Times New Roman" w:hAnsi="Times New Roman" w:cs="Times New Roman"/>
          <w:sz w:val="21"/>
          <w:szCs w:val="21"/>
        </w:rPr>
        <w:t>.</w:t>
      </w:r>
    </w:p>
    <w:p w14:paraId="0D0E0419" w14:textId="77777777" w:rsidR="006876BC" w:rsidRPr="00732156" w:rsidRDefault="006876BC" w:rsidP="00984C37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</w:p>
    <w:p w14:paraId="295AE3C2" w14:textId="7264BB57" w:rsidR="00BE346E" w:rsidRPr="00732156" w:rsidRDefault="00E544DD" w:rsidP="00984C37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To answer </w:t>
      </w:r>
      <w:r w:rsidR="0048131B" w:rsidRPr="00732156">
        <w:rPr>
          <w:rFonts w:ascii="Times New Roman" w:hAnsi="Times New Roman" w:cs="Times New Roman"/>
          <w:sz w:val="24"/>
          <w:szCs w:val="24"/>
        </w:rPr>
        <w:t>this question</w:t>
      </w:r>
      <w:r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6876BC" w:rsidRPr="00732156">
        <w:rPr>
          <w:rFonts w:ascii="Times New Roman" w:hAnsi="Times New Roman" w:cs="Times New Roman"/>
          <w:sz w:val="24"/>
          <w:szCs w:val="24"/>
        </w:rPr>
        <w:t>we</w:t>
      </w:r>
      <w:r w:rsidRPr="00732156">
        <w:rPr>
          <w:rFonts w:ascii="Times New Roman" w:hAnsi="Times New Roman" w:cs="Times New Roman"/>
          <w:sz w:val="24"/>
          <w:szCs w:val="24"/>
        </w:rPr>
        <w:t xml:space="preserve"> examine the relationship between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67405" w:rsidRPr="00732156">
        <w:rPr>
          <w:rFonts w:ascii="Times New Roman" w:hAnsi="Times New Roman" w:cs="Times New Roman"/>
          <w:sz w:val="24"/>
          <w:szCs w:val="24"/>
        </w:rPr>
        <w:t>a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40B86" w:rsidRPr="00732156">
        <w:rPr>
          <w:rFonts w:ascii="Times New Roman" w:hAnsi="Times New Roman" w:cs="Times New Roman"/>
          <w:sz w:val="24"/>
          <w:szCs w:val="24"/>
        </w:rPr>
        <w:t xml:space="preserve">decoupling trend and </w:t>
      </w:r>
      <w:r w:rsidR="004B5AE1" w:rsidRPr="00732156">
        <w:rPr>
          <w:rFonts w:ascii="Times New Roman" w:hAnsi="Times New Roman" w:cs="Times New Roman"/>
          <w:sz w:val="24"/>
          <w:szCs w:val="24"/>
        </w:rPr>
        <w:t xml:space="preserve">carbon pricing, which is a </w:t>
      </w:r>
      <w:r w:rsidR="00740B86" w:rsidRPr="00732156">
        <w:rPr>
          <w:rFonts w:ascii="Times New Roman" w:hAnsi="Times New Roman" w:cs="Times New Roman"/>
          <w:sz w:val="24"/>
          <w:szCs w:val="24"/>
        </w:rPr>
        <w:t>policy innovation that aims to promote cost-efficient mitigation actions.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 The idea of carbon pricing is to impose a Pigouvian fee, or tax</w:t>
      </w:r>
      <w:r w:rsidR="004B5AE1" w:rsidRPr="00732156">
        <w:rPr>
          <w:rFonts w:ascii="Times New Roman" w:hAnsi="Times New Roman" w:cs="Times New Roman"/>
          <w:sz w:val="24"/>
          <w:szCs w:val="24"/>
        </w:rPr>
        <w:t>,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 on pollution-inducing behaviors, </w:t>
      </w:r>
      <w:r w:rsidR="004B5AE1" w:rsidRPr="00732156">
        <w:rPr>
          <w:rFonts w:ascii="Times New Roman" w:hAnsi="Times New Roman" w:cs="Times New Roman"/>
          <w:sz w:val="24"/>
          <w:szCs w:val="24"/>
        </w:rPr>
        <w:t xml:space="preserve">for both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carbon dioxide as well as other greenhouse gases. </w:t>
      </w:r>
      <w:r w:rsidR="007763FB" w:rsidRPr="00732156">
        <w:rPr>
          <w:rFonts w:ascii="Times New Roman" w:hAnsi="Times New Roman" w:cs="Times New Roman"/>
          <w:sz w:val="24"/>
          <w:szCs w:val="24"/>
        </w:rPr>
        <w:t>E</w:t>
      </w:r>
      <w:r w:rsidR="00BE346E" w:rsidRPr="00732156">
        <w:rPr>
          <w:rFonts w:ascii="Times New Roman" w:hAnsi="Times New Roman" w:cs="Times New Roman"/>
          <w:sz w:val="24"/>
          <w:szCs w:val="24"/>
        </w:rPr>
        <w:t>mission trading and carbon tax</w:t>
      </w:r>
      <w:r w:rsidR="007763FB" w:rsidRPr="00732156">
        <w:rPr>
          <w:rFonts w:ascii="Times New Roman" w:hAnsi="Times New Roman" w:cs="Times New Roman"/>
          <w:sz w:val="24"/>
          <w:szCs w:val="24"/>
        </w:rPr>
        <w:t>es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 are </w:t>
      </w:r>
      <w:r w:rsidR="007763FB" w:rsidRPr="00732156">
        <w:rPr>
          <w:rFonts w:ascii="Times New Roman" w:hAnsi="Times New Roman" w:cs="Times New Roman"/>
          <w:sz w:val="24"/>
          <w:szCs w:val="24"/>
        </w:rPr>
        <w:t xml:space="preserve">two </w:t>
      </w:r>
      <w:r w:rsidR="00BE346E" w:rsidRPr="00732156">
        <w:rPr>
          <w:rFonts w:ascii="Times New Roman" w:hAnsi="Times New Roman" w:cs="Times New Roman"/>
          <w:sz w:val="24"/>
          <w:szCs w:val="24"/>
        </w:rPr>
        <w:t>policy instruments</w:t>
      </w:r>
      <w:r w:rsidR="007763FB" w:rsidRPr="00732156">
        <w:rPr>
          <w:rFonts w:ascii="Times New Roman" w:hAnsi="Times New Roman" w:cs="Times New Roman"/>
          <w:sz w:val="24"/>
          <w:szCs w:val="24"/>
        </w:rPr>
        <w:t xml:space="preserve"> that are commonly used to enable this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7763FB" w:rsidRPr="00732156">
        <w:rPr>
          <w:rFonts w:ascii="Times New Roman" w:hAnsi="Times New Roman" w:cs="Times New Roman"/>
          <w:sz w:val="24"/>
          <w:szCs w:val="24"/>
        </w:rPr>
        <w:t xml:space="preserve">though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they employ different ways to impose such a fee (Tietenberg 2013). </w:t>
      </w:r>
    </w:p>
    <w:p w14:paraId="620ED631" w14:textId="2EE024E1" w:rsidR="00BE346E" w:rsidRPr="00732156" w:rsidRDefault="007763FB" w:rsidP="00984C37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Our analysis of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the relationship between decoupling and carbon pricing instruments </w:t>
      </w:r>
      <w:r w:rsidRPr="00732156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a novel contribution to the literature for two reasons. First, previous studies have examined </w:t>
      </w:r>
      <w:r w:rsidR="00537D8B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various conditions </w:t>
      </w:r>
      <w:r w:rsidR="00537D8B" w:rsidRPr="00732156">
        <w:rPr>
          <w:rFonts w:ascii="Times New Roman" w:hAnsi="Times New Roman" w:cs="Times New Roman"/>
          <w:sz w:val="24"/>
          <w:szCs w:val="24"/>
        </w:rPr>
        <w:t xml:space="preserve">required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for decoupling to occur, yet few of </w:t>
      </w:r>
      <w:r w:rsidR="00537D8B" w:rsidRPr="00732156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included carbon pricing policies as their key independent variables. We can </w:t>
      </w:r>
      <w:r w:rsidR="00537D8B" w:rsidRPr="00732156">
        <w:rPr>
          <w:rFonts w:ascii="Times New Roman" w:hAnsi="Times New Roman" w:cs="Times New Roman"/>
          <w:sz w:val="24"/>
          <w:szCs w:val="24"/>
        </w:rPr>
        <w:t xml:space="preserve">determine which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policies help countries </w:t>
      </w:r>
      <w:r w:rsidR="00537D8B" w:rsidRPr="00732156">
        <w:rPr>
          <w:rFonts w:ascii="Times New Roman" w:hAnsi="Times New Roman" w:cs="Times New Roman"/>
          <w:sz w:val="24"/>
          <w:szCs w:val="24"/>
        </w:rPr>
        <w:t xml:space="preserve">to </w:t>
      </w:r>
      <w:r w:rsidR="00BE346E" w:rsidRPr="00732156">
        <w:rPr>
          <w:rFonts w:ascii="Times New Roman" w:hAnsi="Times New Roman" w:cs="Times New Roman"/>
          <w:sz w:val="24"/>
          <w:szCs w:val="24"/>
        </w:rPr>
        <w:t>better achieve decoupling by examining whether different types of carbon pricing policies have different impact</w:t>
      </w:r>
      <w:r w:rsidR="00537D8B" w:rsidRPr="00732156">
        <w:rPr>
          <w:rFonts w:ascii="Times New Roman" w:hAnsi="Times New Roman" w:cs="Times New Roman"/>
          <w:sz w:val="24"/>
          <w:szCs w:val="24"/>
        </w:rPr>
        <w:t>s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 on decoupling. Second, researchers have discussed the effectiveness of emission trading or carbon tax, yet </w:t>
      </w:r>
      <w:r w:rsidR="00C201EA" w:rsidRPr="00732156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mainly </w:t>
      </w:r>
      <w:r w:rsidR="00C201EA" w:rsidRPr="00732156">
        <w:rPr>
          <w:rFonts w:ascii="Times New Roman" w:hAnsi="Times New Roman" w:cs="Times New Roman"/>
          <w:sz w:val="24"/>
          <w:szCs w:val="24"/>
        </w:rPr>
        <w:t xml:space="preserve">consist of </w:t>
      </w:r>
      <w:r w:rsidR="00BE346E" w:rsidRPr="00732156">
        <w:rPr>
          <w:rFonts w:ascii="Times New Roman" w:hAnsi="Times New Roman" w:cs="Times New Roman"/>
          <w:sz w:val="24"/>
          <w:szCs w:val="24"/>
        </w:rPr>
        <w:t>single country cases</w:t>
      </w:r>
      <w:r w:rsidR="0062053B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62053B" w:rsidRPr="0073215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PEVuZE5vdGU+PENpdGU+PEF1dGhvcj5TYW5kb2ZmPC9BdXRob3I+PFllYXI+MjAwOTwvWWVhcj48
UmVjTnVtPjg8L1JlY051bT48RGlzcGxheVRleHQ+KEx1bmRncmVuLCBNYXJrbHVuZCwgU2FtYWtv
dmxpcywgJmFtcDsgWmhvdSwgMjAxNTsgTWFzY2hlciwgMjAxODsgTW8sIEFnbm9sdWNjaSwgSmlh
bmcsICZhbXA7IEZhbiwgMjAxNjsgUm9nZ2UgJmFtcDsgSG9mZm1hbm4sIDIwMTA7IFNhbmRvZmYg
JmFtcDsgU2NoYWFkLCAyMDA5KTwvRGlzcGxheVRleHQ+PHJlY29yZD48cmVjLW51bWJlcj44PC9y
ZWMtbnVtYmVyPjxmb3JlaWduLWtleXM+PGtleSBhcHA9IkVOIiBkYi1pZD0ienBwdHNwMndmZXgy
MjJldGU1dDVzMDl4YWV4NXRkOWVwOXZ0IiB0aW1lc3RhbXA9IjE1NjM1MTYwMDgiPjg8L2tleT48
L2ZvcmVpZ24ta2V5cz48cmVmLXR5cGUgbmFtZT0iSm91cm5hbCBBcnRpY2xlIj4xNzwvcmVmLXR5
cGU+PGNvbnRyaWJ1dG9ycz48YXV0aG9ycz48YXV0aG9yPlNhbmRvZmYsIEFuZGVyczwvYXV0aG9y
PjxhdXRob3I+U2NoYWFkLCBHYWJyaWVsYTwvYXV0aG9yPjwvYXV0aG9ycz48L2NvbnRyaWJ1dG9y
cz48dGl0bGVzPjx0aXRsZT5Eb2VzIEVVIEVUUyBsZWFkIHRvIGVtaXNzaW9uIHJlZHVjdGlvbnMg
dGhyb3VnaCB0cmFkZT8gVGhlIGNhc2Ugb2YgdGhlIFN3ZWRpc2ggZW1pc3Npb25zIHRyYWRpbmcg
c2VjdG9yIHBhcnRpY2lwYW50czwvdGl0bGU+PHNlY29uZGFyeS10aXRsZT5FbmVyZ3kgUG9saWN5
PC9zZWNvbmRhcnktdGl0bGU+PC90aXRsZXM+PHBlcmlvZGljYWw+PGZ1bGwtdGl0bGU+RW5lcmd5
IFBvbGljeTwvZnVsbC10aXRsZT48L3BlcmlvZGljYWw+PHBhZ2VzPjM5NjctMzk3NzwvcGFnZXM+
PHZvbHVtZT4zNzwvdm9sdW1lPjxudW1iZXI+MTA8L251bWJlcj48a2V5d29yZHM+PGtleXdvcmQ+
RVUgRVRTPC9rZXl3b3JkPjxrZXl3b3JkPkVtaXNzaW9ucyB0cmFkaW5nPC9rZXl3b3JkPjxrZXl3
b3JkPkFsbG93YW5jZSBtYW5hZ2VtZW50PC9rZXl3b3JkPjwva2V5d29yZHM+PGRhdGVzPjx5ZWFy
PjIwMDk8L3llYXI+PHB1Yi1kYXRlcz48ZGF0ZT4yMDA5LzEwLzAxLzwvZGF0ZT48L3B1Yi1kYXRl
cz48L2RhdGVzPjxpc2JuPjAzMDEtNDIxNTwvaXNibj48dXJscz48cmVsYXRlZC11cmxzPjx1cmw+
aHR0cDovL3d3dy5zY2llbmNlZGlyZWN0LmNvbS9zY2llbmNlL2FydGljbGUvcGlpL1MwMzAxNDIx
NTA5MDAzMDk3PC91cmw+PC9yZWxhdGVkLXVybHM+PC91cmxzPjxlbGVjdHJvbmljLXJlc291cmNl
LW51bT5odHRwczovL2RvaS5vcmcvMTAuMTAxNi9qLmVucG9sLjIwMDkuMDQuMDQzPC9lbGVjdHJv
bmljLXJlc291cmNlLW51bT48L3JlY29yZD48L0NpdGU+PENpdGU+PEF1dGhvcj5Sb2dnZTwvQXV0
aG9yPjxZZWFyPjIwMTA8L1llYXI+PFJlY051bT45PC9SZWNOdW0+PHJlY29yZD48cmVjLW51bWJl
cj45PC9yZWMtbnVtYmVyPjxmb3JlaWduLWtleXM+PGtleSBhcHA9IkVOIiBkYi1pZD0ienBwdHNw
MndmZXgyMjJldGU1dDVzMDl4YWV4NXRkOWVwOXZ0IiB0aW1lc3RhbXA9IjE1NjM1MTYxMDEiPjk8
L2tleT48L2ZvcmVpZ24ta2V5cz48cmVmLXR5cGUgbmFtZT0iSm91cm5hbCBBcnRpY2xlIj4xNzwv
cmVmLXR5cGU+PGNvbnRyaWJ1dG9ycz48YXV0aG9ycz48YXV0aG9yPlJvZ2dlLCBLYXJvbGluZSBT
LjwvYXV0aG9yPjxhdXRob3I+SG9mZm1hbm4sIFZvbGtlciBILjwvYXV0aG9yPjwvYXV0aG9ycz48
L2NvbnRyaWJ1dG9ycz48dGl0bGVzPjx0aXRsZT5UaGUgaW1wYWN0IG9mIHRoZSBFVSBFVFMgb24g
dGhlIHNlY3RvcmFsIGlubm92YXRpb24gc3lzdGVtIGZvciBwb3dlciBnZW5lcmF0aW9uIHRlY2hu
b2xvZ2llcyDigJMgRmluZGluZ3MgZm9yIEdlcm1hbnk8L3RpdGxlPjxzZWNvbmRhcnktdGl0bGU+
RW5lcmd5IFBvbGljeTwvc2Vjb25kYXJ5LXRpdGxlPjwvdGl0bGVzPjxwZXJpb2RpY2FsPjxmdWxs
LXRpdGxlPkVuZXJneSBQb2xpY3k8L2Z1bGwtdGl0bGU+PC9wZXJpb2RpY2FsPjxwYWdlcz43NjM5
LTc2NTI8L3BhZ2VzPjx2b2x1bWU+Mzg8L3ZvbHVtZT48bnVtYmVyPjEyPC9udW1iZXI+PGtleXdv
cmRzPjxrZXl3b3JkPkVVIGVtaXNzaW9uIHRyYWRpbmcgc3lzdGVtIChFVSBFVFMpPC9rZXl3b3Jk
PjxrZXl3b3JkPklubm92YXRpb24gc3lzdGVtPC9rZXl3b3JkPjxrZXl3b3JkPlBvd2VyIHNlY3Rv
cjwva2V5d29yZD48L2tleXdvcmRzPjxkYXRlcz48eWVhcj4yMDEwPC95ZWFyPjxwdWItZGF0ZXM+
PGRhdGU+MjAxMC8xMi8wMS88L2RhdGU+PC9wdWItZGF0ZXM+PC9kYXRlcz48aXNibj4wMzAxLTQy
MTU8L2lzYm4+PHVybHM+PHJlbGF0ZWQtdXJscz48dXJsPmh0dHA6Ly93d3cuc2NpZW5jZWRpcmVj
dC5jb20vc2NpZW5jZS9hcnRpY2xlL3BpaS9TMDMwMTQyMTUxMDAwNTc3WDwvdXJsPjwvcmVsYXRl
ZC11cmxzPjwvdXJscz48ZWxlY3Ryb25pYy1yZXNvdXJjZS1udW0+aHR0cHM6Ly9kb2kub3JnLzEw
LjEwMTYvai5lbnBvbC4yMDEwLjA3LjA0NzwvZWxlY3Ryb25pYy1yZXNvdXJjZS1udW0+PC9yZWNv
cmQ+PC9DaXRlPjxDaXRlPjxBdXRob3I+TW88L0F1dGhvcj48WWVhcj4yMDE2PC9ZZWFyPjxSZWNO
dW0+MTM8L1JlY051bT48cmVjb3JkPjxyZWMtbnVtYmVyPjEzPC9yZWMtbnVtYmVyPjxmb3JlaWdu
LWtleXM+PGtleSBhcHA9IkVOIiBkYi1pZD0ienBwdHNwMndmZXgyMjJldGU1dDVzMDl4YWV4NXRk
OWVwOXZ0IiB0aW1lc3RhbXA9IjE1NjM1MTYzOTUiPjEzPC9rZXk+PC9mb3JlaWduLWtleXM+PHJl
Zi10eXBlIG5hbWU9IkpvdXJuYWwgQXJ0aWNsZSI+MTc8L3JlZi10eXBlPjxjb250cmlidXRvcnM+
PGF1dGhvcnM+PGF1dGhvcj5NbywgSmlhbi1MZWk8L2F1dGhvcj48YXV0aG9yPkFnbm9sdWNjaSwg
UGFvbG88L2F1dGhvcj48YXV0aG9yPkppYW5nLCBNYW8tUm9uZzwvYXV0aG9yPjxhdXRob3I+RmFu
LCBZaW5nPC9hdXRob3I+PC9hdXRob3JzPjwvY29udHJpYnV0b3JzPjx0aXRsZXM+PHRpdGxlPlRo
ZSBpbXBhY3Qgb2YgQ2hpbmVzZSBjYXJib24gZW1pc3Npb24gdHJhZGluZyBzY2hlbWUgKEVUUykg
b24gbG93IGNhcmJvbiBlbmVyZ3kgKExDRSkgaW52ZXN0bWVudDwvdGl0bGU+PHNlY29uZGFyeS10
aXRsZT5FbmVyZ3kgUG9saWN5PC9zZWNvbmRhcnktdGl0bGU+PC90aXRsZXM+PHBlcmlvZGljYWw+
PGZ1bGwtdGl0bGU+RW5lcmd5IFBvbGljeTwvZnVsbC10aXRsZT48L3BlcmlvZGljYWw+PHBhZ2Vz
PjI3MS0yODM8L3BhZ2VzPjx2b2x1bWU+ODk8L3ZvbHVtZT48a2V5d29yZHM+PGtleXdvcmQ+RW1p
c3Npb24gdHJhZGluZyBzY2hlbWUgKEVUUyk8L2tleXdvcmQ+PGtleXdvcmQ+TG93IGNhcmJvbiBl
bmVyZ3kgKExDRSkgaW52ZXN0bWVudDwva2V5d29yZD48a2V5d29yZD5XaW5kIHBvd2VyPC9rZXl3
b3JkPjxrZXl3b3JkPkNoaW5hPC9rZXl3b3JkPjxrZXl3b3JkPlJlYWwgb3B0aW9uPC9rZXl3b3Jk
Pjwva2V5d29yZHM+PGRhdGVzPjx5ZWFyPjIwMTY8L3llYXI+PHB1Yi1kYXRlcz48ZGF0ZT4yMDE2
LzAyLzAxLzwvZGF0ZT48L3B1Yi1kYXRlcz48L2RhdGVzPjxpc2JuPjAzMDEtNDIxNTwvaXNibj48
dXJscz48cmVsYXRlZC11cmxzPjx1cmw+aHR0cDovL3d3dy5zY2llbmNlZGlyZWN0LmNvbS9zY2ll
bmNlL2FydGljbGUvcGlpL1MwMzAxNDIxNTE1MzAyMTQ3PC91cmw+PC9yZWxhdGVkLXVybHM+PC91
cmxzPjxlbGVjdHJvbmljLXJlc291cmNlLW51bT5odHRwczovL2RvaS5vcmcvMTAuMTAxNi9qLmVu
cG9sLjIwMTUuMTIuMDAyPC9lbGVjdHJvbmljLXJlc291cmNlLW51bT48L3JlY29yZD48L0NpdGU+
PENpdGU+PEF1dGhvcj5NYXNjaGVyPC9BdXRob3I+PFllYXI+MjAxODwvWWVhcj48UmVjTnVtPjE0
PC9SZWNOdW0+PHJlY29yZD48cmVjLW51bWJlcj4xNDwvcmVjLW51bWJlcj48Zm9yZWlnbi1rZXlz
PjxrZXkgYXBwPSJFTiIgZGItaWQ9InpwcHRzcDJ3ZmV4MjIyZXRlNXQ1czA5eGFleDV0ZDllcDl2
dCIgdGltZXN0YW1wPSIxNTYzNTE2NjM0Ij4xNDwva2V5PjwvZm9yZWlnbi1rZXlzPjxyZWYtdHlw
ZSBuYW1lPSJKb3VybmFsIEFydGljbGUiPjE3PC9yZWYtdHlwZT48Y29udHJpYnV0b3JzPjxhdXRo
b3JzPjxhdXRob3I+TWFzY2hlciwgU2hhcm9uPC9hdXRob3I+PC9hdXRob3JzPjwvY29udHJpYnV0
b3JzPjx0aXRsZXM+PHRpdGxlPlN0cml2aW5nIGZvciBlcXVpdmFsZW5jeSBhY3Jvc3MgdGhlIEFs
YmVydGEsIEJyaXRpc2ggQ29sdW1iaWEsIE9udGFyaW8gYW5kIFF1w6liZWMgY2FyYm9uIHByaWNp
bmcgc3lzdGVtczogdGhlIFBhbi1DYW5hZGlhbiBjYXJib24gcHJpY2luZyBiZW5jaG1hcms8L3Rp
dGxlPjxzZWNvbmRhcnktdGl0bGU+Q2xpbWF0ZSBQb2xpY3k8L3NlY29uZGFyeS10aXRsZT48L3Rp
dGxlcz48cGVyaW9kaWNhbD48ZnVsbC10aXRsZT5DbGltYXRlIFBvbGljeTwvZnVsbC10aXRsZT48
L3BlcmlvZGljYWw+PHBhZ2VzPjEwMTItMTAyNzwvcGFnZXM+PHZvbHVtZT4xODwvdm9sdW1lPjxu
dW1iZXI+ODwvbnVtYmVyPjxkYXRlcz48eWVhcj4yMDE4PC95ZWFyPjxwdWItZGF0ZXM+PGRhdGU+
MjAxOC8wOS8xNDwvZGF0ZT48L3B1Yi1kYXRlcz48L2RhdGVzPjxwdWJsaXNoZXI+VGF5bG9yICZh
bXA7IEZyYW5jaXM8L3B1Ymxpc2hlcj48aXNibj4xNDY5LTMwNjI8L2lzYm4+PHVybHM+PHJlbGF0
ZWQtdXJscz48dXJsPmh0dHBzOi8vZG9pLm9yZy8xMC4xMDgwLzE0NjkzMDYyLjIwMTguMTQ3MDQ4
OTwvdXJsPjwvcmVsYXRlZC11cmxzPjwvdXJscz48ZWxlY3Ryb25pYy1yZXNvdXJjZS1udW0+MTAu
MTA4MC8xNDY5MzA2Mi4yMDE4LjE0NzA0ODk8L2VsZWN0cm9uaWMtcmVzb3VyY2UtbnVtPjwvcmVj
b3JkPjwvQ2l0ZT48Q2l0ZT48QXV0aG9yPkx1bmRncmVuPC9BdXRob3I+PFllYXI+MjAxNTwvWWVh
cj48UmVjTnVtPjE2PC9SZWNOdW0+PHJlY29yZD48cmVjLW51bWJlcj4xNjwvcmVjLW51bWJlcj48
Zm9yZWlnbi1rZXlzPjxrZXkgYXBwPSJFTiIgZGItaWQ9InpwcHRzcDJ3ZmV4MjIyZXRlNXQ1czA5
eGFleDV0ZDllcDl2dCIgdGltZXN0YW1wPSIxNTYzNTE2OTQ3Ij4xNjwva2V5PjwvZm9yZWlnbi1r
ZXlzPjxyZWYtdHlwZSBuYW1lPSJKb3VybmFsIEFydGljbGUiPjE3PC9yZWYtdHlwZT48Y29udHJp
YnV0b3JzPjxhdXRob3JzPjxhdXRob3I+THVuZGdyZW4sIFRvbW15PC9hdXRob3I+PGF1dGhvcj5N
YXJrbHVuZCwgUGVyLU9sb3Y8L2F1dGhvcj48YXV0aG9yPlNhbWFrb3ZsaXMsIEV2YTwvYXV0aG9y
PjxhdXRob3I+WmhvdSwgV2VuY2hhbzwvYXV0aG9yPjwvYXV0aG9ycz48L2NvbnRyaWJ1dG9ycz48
dGl0bGVzPjx0aXRsZT5DYXJib24gcHJpY2VzIGFuZCBpbmNlbnRpdmVzIGZvciB0ZWNobm9sb2dp
Y2FsIGRldmVsb3BtZW50PC90aXRsZT48c2Vjb25kYXJ5LXRpdGxlPkpvdXJuYWwgb2YgRW52aXJv
bm1lbnRhbCBNYW5hZ2VtZW50PC9zZWNvbmRhcnktdGl0bGU+PC90aXRsZXM+PHBlcmlvZGljYWw+
PGZ1bGwtdGl0bGU+Sm91cm5hbCBvZiBFbnZpcm9ubWVudGFsIE1hbmFnZW1lbnQ8L2Z1bGwtdGl0
bGU+PC9wZXJpb2RpY2FsPjxwYWdlcz4zOTMtNDAzPC9wYWdlcz48dm9sdW1lPjE1MDwvdm9sdW1l
PjxrZXl3b3Jkcz48a2V5d29yZD5DTyB0YXg8L2tleXdvcmQ+PGtleXdvcmQ+RVUgRVRTPC9rZXl3
b3JkPjxrZXl3b3JkPkx1ZW5iZXJnZXIgdG90YWwgZmFjdG9yIHByb2R1Y3Rpdml0eSBpbmRpY2F0
b3I8L2tleXdvcmQ+PGtleXdvcmQ+R01NPC9rZXl3b3JkPjwva2V5d29yZHM+PGRhdGVzPjx5ZWFy
PjIwMTU8L3llYXI+PHB1Yi1kYXRlcz48ZGF0ZT4yMDE1LzAzLzAxLzwvZGF0ZT48L3B1Yi1kYXRl
cz48L2RhdGVzPjxpc2JuPjAzMDEtNDc5NzwvaXNibj48dXJscz48cmVsYXRlZC11cmxzPjx1cmw+
aHR0cDovL3d3dy5zY2llbmNlZGlyZWN0LmNvbS9zY2llbmNlL2FydGljbGUvcGlpL1MwMzAxNDc5
NzE0MDA1OTIxPC91cmw+PC9yZWxhdGVkLXVybHM+PC91cmxzPjxlbGVjdHJvbmljLXJlc291cmNl
LW51bT5odHRwczovL2RvaS5vcmcvMTAuMTAxNi9qLmplbnZtYW4uMjAxNC4xMi4wMTU8L2VsZWN0
cm9uaWMtcmVzb3VyY2UtbnVtPjwvcmVjb3JkPjwvQ2l0ZT48L0VuZE5vdGU+
</w:fldData>
        </w:fldChar>
      </w:r>
      <w:r w:rsidR="0062053B" w:rsidRPr="0073215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62053B" w:rsidRPr="0073215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PEVuZE5vdGU+PENpdGU+PEF1dGhvcj5TYW5kb2ZmPC9BdXRob3I+PFllYXI+MjAwOTwvWWVhcj48
UmVjTnVtPjg8L1JlY051bT48RGlzcGxheVRleHQ+KEx1bmRncmVuLCBNYXJrbHVuZCwgU2FtYWtv
dmxpcywgJmFtcDsgWmhvdSwgMjAxNTsgTWFzY2hlciwgMjAxODsgTW8sIEFnbm9sdWNjaSwgSmlh
bmcsICZhbXA7IEZhbiwgMjAxNjsgUm9nZ2UgJmFtcDsgSG9mZm1hbm4sIDIwMTA7IFNhbmRvZmYg
JmFtcDsgU2NoYWFkLCAyMDA5KTwvRGlzcGxheVRleHQ+PHJlY29yZD48cmVjLW51bWJlcj44PC9y
ZWMtbnVtYmVyPjxmb3JlaWduLWtleXM+PGtleSBhcHA9IkVOIiBkYi1pZD0ienBwdHNwMndmZXgy
MjJldGU1dDVzMDl4YWV4NXRkOWVwOXZ0IiB0aW1lc3RhbXA9IjE1NjM1MTYwMDgiPjg8L2tleT48
L2ZvcmVpZ24ta2V5cz48cmVmLXR5cGUgbmFtZT0iSm91cm5hbCBBcnRpY2xlIj4xNzwvcmVmLXR5
cGU+PGNvbnRyaWJ1dG9ycz48YXV0aG9ycz48YXV0aG9yPlNhbmRvZmYsIEFuZGVyczwvYXV0aG9y
PjxhdXRob3I+U2NoYWFkLCBHYWJyaWVsYTwvYXV0aG9yPjwvYXV0aG9ycz48L2NvbnRyaWJ1dG9y
cz48dGl0bGVzPjx0aXRsZT5Eb2VzIEVVIEVUUyBsZWFkIHRvIGVtaXNzaW9uIHJlZHVjdGlvbnMg
dGhyb3VnaCB0cmFkZT8gVGhlIGNhc2Ugb2YgdGhlIFN3ZWRpc2ggZW1pc3Npb25zIHRyYWRpbmcg
c2VjdG9yIHBhcnRpY2lwYW50czwvdGl0bGU+PHNlY29uZGFyeS10aXRsZT5FbmVyZ3kgUG9saWN5
PC9zZWNvbmRhcnktdGl0bGU+PC90aXRsZXM+PHBlcmlvZGljYWw+PGZ1bGwtdGl0bGU+RW5lcmd5
IFBvbGljeTwvZnVsbC10aXRsZT48L3BlcmlvZGljYWw+PHBhZ2VzPjM5NjctMzk3NzwvcGFnZXM+
PHZvbHVtZT4zNzwvdm9sdW1lPjxudW1iZXI+MTA8L251bWJlcj48a2V5d29yZHM+PGtleXdvcmQ+
RVUgRVRTPC9rZXl3b3JkPjxrZXl3b3JkPkVtaXNzaW9ucyB0cmFkaW5nPC9rZXl3b3JkPjxrZXl3
b3JkPkFsbG93YW5jZSBtYW5hZ2VtZW50PC9rZXl3b3JkPjwva2V5d29yZHM+PGRhdGVzPjx5ZWFy
PjIwMDk8L3llYXI+PHB1Yi1kYXRlcz48ZGF0ZT4yMDA5LzEwLzAxLzwvZGF0ZT48L3B1Yi1kYXRl
cz48L2RhdGVzPjxpc2JuPjAzMDEtNDIxNTwvaXNibj48dXJscz48cmVsYXRlZC11cmxzPjx1cmw+
aHR0cDovL3d3dy5zY2llbmNlZGlyZWN0LmNvbS9zY2llbmNlL2FydGljbGUvcGlpL1MwMzAxNDIx
NTA5MDAzMDk3PC91cmw+PC9yZWxhdGVkLXVybHM+PC91cmxzPjxlbGVjdHJvbmljLXJlc291cmNl
LW51bT5odHRwczovL2RvaS5vcmcvMTAuMTAxNi9qLmVucG9sLjIwMDkuMDQuMDQzPC9lbGVjdHJv
bmljLXJlc291cmNlLW51bT48L3JlY29yZD48L0NpdGU+PENpdGU+PEF1dGhvcj5Sb2dnZTwvQXV0
aG9yPjxZZWFyPjIwMTA8L1llYXI+PFJlY051bT45PC9SZWNOdW0+PHJlY29yZD48cmVjLW51bWJl
cj45PC9yZWMtbnVtYmVyPjxmb3JlaWduLWtleXM+PGtleSBhcHA9IkVOIiBkYi1pZD0ienBwdHNw
MndmZXgyMjJldGU1dDVzMDl4YWV4NXRkOWVwOXZ0IiB0aW1lc3RhbXA9IjE1NjM1MTYxMDEiPjk8
L2tleT48L2ZvcmVpZ24ta2V5cz48cmVmLXR5cGUgbmFtZT0iSm91cm5hbCBBcnRpY2xlIj4xNzwv
cmVmLXR5cGU+PGNvbnRyaWJ1dG9ycz48YXV0aG9ycz48YXV0aG9yPlJvZ2dlLCBLYXJvbGluZSBT
LjwvYXV0aG9yPjxhdXRob3I+SG9mZm1hbm4sIFZvbGtlciBILjwvYXV0aG9yPjwvYXV0aG9ycz48
L2NvbnRyaWJ1dG9ycz48dGl0bGVzPjx0aXRsZT5UaGUgaW1wYWN0IG9mIHRoZSBFVSBFVFMgb24g
dGhlIHNlY3RvcmFsIGlubm92YXRpb24gc3lzdGVtIGZvciBwb3dlciBnZW5lcmF0aW9uIHRlY2hu
b2xvZ2llcyDigJMgRmluZGluZ3MgZm9yIEdlcm1hbnk8L3RpdGxlPjxzZWNvbmRhcnktdGl0bGU+
RW5lcmd5IFBvbGljeTwvc2Vjb25kYXJ5LXRpdGxlPjwvdGl0bGVzPjxwZXJpb2RpY2FsPjxmdWxs
LXRpdGxlPkVuZXJneSBQb2xpY3k8L2Z1bGwtdGl0bGU+PC9wZXJpb2RpY2FsPjxwYWdlcz43NjM5
LTc2NTI8L3BhZ2VzPjx2b2x1bWU+Mzg8L3ZvbHVtZT48bnVtYmVyPjEyPC9udW1iZXI+PGtleXdv
cmRzPjxrZXl3b3JkPkVVIGVtaXNzaW9uIHRyYWRpbmcgc3lzdGVtIChFVSBFVFMpPC9rZXl3b3Jk
PjxrZXl3b3JkPklubm92YXRpb24gc3lzdGVtPC9rZXl3b3JkPjxrZXl3b3JkPlBvd2VyIHNlY3Rv
cjwva2V5d29yZD48L2tleXdvcmRzPjxkYXRlcz48eWVhcj4yMDEwPC95ZWFyPjxwdWItZGF0ZXM+
PGRhdGU+MjAxMC8xMi8wMS88L2RhdGU+PC9wdWItZGF0ZXM+PC9kYXRlcz48aXNibj4wMzAxLTQy
MTU8L2lzYm4+PHVybHM+PHJlbGF0ZWQtdXJscz48dXJsPmh0dHA6Ly93d3cuc2NpZW5jZWRpcmVj
dC5jb20vc2NpZW5jZS9hcnRpY2xlL3BpaS9TMDMwMTQyMTUxMDAwNTc3WDwvdXJsPjwvcmVsYXRl
ZC11cmxzPjwvdXJscz48ZWxlY3Ryb25pYy1yZXNvdXJjZS1udW0+aHR0cHM6Ly9kb2kub3JnLzEw
LjEwMTYvai5lbnBvbC4yMDEwLjA3LjA0NzwvZWxlY3Ryb25pYy1yZXNvdXJjZS1udW0+PC9yZWNv
cmQ+PC9DaXRlPjxDaXRlPjxBdXRob3I+TW88L0F1dGhvcj48WWVhcj4yMDE2PC9ZZWFyPjxSZWNO
dW0+MTM8L1JlY051bT48cmVjb3JkPjxyZWMtbnVtYmVyPjEzPC9yZWMtbnVtYmVyPjxmb3JlaWdu
LWtleXM+PGtleSBhcHA9IkVOIiBkYi1pZD0ienBwdHNwMndmZXgyMjJldGU1dDVzMDl4YWV4NXRk
OWVwOXZ0IiB0aW1lc3RhbXA9IjE1NjM1MTYzOTUiPjEzPC9rZXk+PC9mb3JlaWduLWtleXM+PHJl
Zi10eXBlIG5hbWU9IkpvdXJuYWwgQXJ0aWNsZSI+MTc8L3JlZi10eXBlPjxjb250cmlidXRvcnM+
PGF1dGhvcnM+PGF1dGhvcj5NbywgSmlhbi1MZWk8L2F1dGhvcj48YXV0aG9yPkFnbm9sdWNjaSwg
UGFvbG88L2F1dGhvcj48YXV0aG9yPkppYW5nLCBNYW8tUm9uZzwvYXV0aG9yPjxhdXRob3I+RmFu
LCBZaW5nPC9hdXRob3I+PC9hdXRob3JzPjwvY29udHJpYnV0b3JzPjx0aXRsZXM+PHRpdGxlPlRo
ZSBpbXBhY3Qgb2YgQ2hpbmVzZSBjYXJib24gZW1pc3Npb24gdHJhZGluZyBzY2hlbWUgKEVUUykg
b24gbG93IGNhcmJvbiBlbmVyZ3kgKExDRSkgaW52ZXN0bWVudDwvdGl0bGU+PHNlY29uZGFyeS10
aXRsZT5FbmVyZ3kgUG9saWN5PC9zZWNvbmRhcnktdGl0bGU+PC90aXRsZXM+PHBlcmlvZGljYWw+
PGZ1bGwtdGl0bGU+RW5lcmd5IFBvbGljeTwvZnVsbC10aXRsZT48L3BlcmlvZGljYWw+PHBhZ2Vz
PjI3MS0yODM8L3BhZ2VzPjx2b2x1bWU+ODk8L3ZvbHVtZT48a2V5d29yZHM+PGtleXdvcmQ+RW1p
c3Npb24gdHJhZGluZyBzY2hlbWUgKEVUUyk8L2tleXdvcmQ+PGtleXdvcmQ+TG93IGNhcmJvbiBl
bmVyZ3kgKExDRSkgaW52ZXN0bWVudDwva2V5d29yZD48a2V5d29yZD5XaW5kIHBvd2VyPC9rZXl3
b3JkPjxrZXl3b3JkPkNoaW5hPC9rZXl3b3JkPjxrZXl3b3JkPlJlYWwgb3B0aW9uPC9rZXl3b3Jk
Pjwva2V5d29yZHM+PGRhdGVzPjx5ZWFyPjIwMTY8L3llYXI+PHB1Yi1kYXRlcz48ZGF0ZT4yMDE2
LzAyLzAxLzwvZGF0ZT48L3B1Yi1kYXRlcz48L2RhdGVzPjxpc2JuPjAzMDEtNDIxNTwvaXNibj48
dXJscz48cmVsYXRlZC11cmxzPjx1cmw+aHR0cDovL3d3dy5zY2llbmNlZGlyZWN0LmNvbS9zY2ll
bmNlL2FydGljbGUvcGlpL1MwMzAxNDIxNTE1MzAyMTQ3PC91cmw+PC9yZWxhdGVkLXVybHM+PC91
cmxzPjxlbGVjdHJvbmljLXJlc291cmNlLW51bT5odHRwczovL2RvaS5vcmcvMTAuMTAxNi9qLmVu
cG9sLjIwMTUuMTIuMDAyPC9lbGVjdHJvbmljLXJlc291cmNlLW51bT48L3JlY29yZD48L0NpdGU+
PENpdGU+PEF1dGhvcj5NYXNjaGVyPC9BdXRob3I+PFllYXI+MjAxODwvWWVhcj48UmVjTnVtPjE0
PC9SZWNOdW0+PHJlY29yZD48cmVjLW51bWJlcj4xNDwvcmVjLW51bWJlcj48Zm9yZWlnbi1rZXlz
PjxrZXkgYXBwPSJFTiIgZGItaWQ9InpwcHRzcDJ3ZmV4MjIyZXRlNXQ1czA5eGFleDV0ZDllcDl2
dCIgdGltZXN0YW1wPSIxNTYzNTE2NjM0Ij4xNDwva2V5PjwvZm9yZWlnbi1rZXlzPjxyZWYtdHlw
ZSBuYW1lPSJKb3VybmFsIEFydGljbGUiPjE3PC9yZWYtdHlwZT48Y29udHJpYnV0b3JzPjxhdXRo
b3JzPjxhdXRob3I+TWFzY2hlciwgU2hhcm9uPC9hdXRob3I+PC9hdXRob3JzPjwvY29udHJpYnV0
b3JzPjx0aXRsZXM+PHRpdGxlPlN0cml2aW5nIGZvciBlcXVpdmFsZW5jeSBhY3Jvc3MgdGhlIEFs
YmVydGEsIEJyaXRpc2ggQ29sdW1iaWEsIE9udGFyaW8gYW5kIFF1w6liZWMgY2FyYm9uIHByaWNp
bmcgc3lzdGVtczogdGhlIFBhbi1DYW5hZGlhbiBjYXJib24gcHJpY2luZyBiZW5jaG1hcms8L3Rp
dGxlPjxzZWNvbmRhcnktdGl0bGU+Q2xpbWF0ZSBQb2xpY3k8L3NlY29uZGFyeS10aXRsZT48L3Rp
dGxlcz48cGVyaW9kaWNhbD48ZnVsbC10aXRsZT5DbGltYXRlIFBvbGljeTwvZnVsbC10aXRsZT48
L3BlcmlvZGljYWw+PHBhZ2VzPjEwMTItMTAyNzwvcGFnZXM+PHZvbHVtZT4xODwvdm9sdW1lPjxu
dW1iZXI+ODwvbnVtYmVyPjxkYXRlcz48eWVhcj4yMDE4PC95ZWFyPjxwdWItZGF0ZXM+PGRhdGU+
MjAxOC8wOS8xNDwvZGF0ZT48L3B1Yi1kYXRlcz48L2RhdGVzPjxwdWJsaXNoZXI+VGF5bG9yICZh
bXA7IEZyYW5jaXM8L3B1Ymxpc2hlcj48aXNibj4xNDY5LTMwNjI8L2lzYm4+PHVybHM+PHJlbGF0
ZWQtdXJscz48dXJsPmh0dHBzOi8vZG9pLm9yZy8xMC4xMDgwLzE0NjkzMDYyLjIwMTguMTQ3MDQ4
OTwvdXJsPjwvcmVsYXRlZC11cmxzPjwvdXJscz48ZWxlY3Ryb25pYy1yZXNvdXJjZS1udW0+MTAu
MTA4MC8xNDY5MzA2Mi4yMDE4LjE0NzA0ODk8L2VsZWN0cm9uaWMtcmVzb3VyY2UtbnVtPjwvcmVj
b3JkPjwvQ2l0ZT48Q2l0ZT48QXV0aG9yPkx1bmRncmVuPC9BdXRob3I+PFllYXI+MjAxNTwvWWVh
cj48UmVjTnVtPjE2PC9SZWNOdW0+PHJlY29yZD48cmVjLW51bWJlcj4xNjwvcmVjLW51bWJlcj48
Zm9yZWlnbi1rZXlzPjxrZXkgYXBwPSJFTiIgZGItaWQ9InpwcHRzcDJ3ZmV4MjIyZXRlNXQ1czA5
eGFleDV0ZDllcDl2dCIgdGltZXN0YW1wPSIxNTYzNTE2OTQ3Ij4xNjwva2V5PjwvZm9yZWlnbi1r
ZXlzPjxyZWYtdHlwZSBuYW1lPSJKb3VybmFsIEFydGljbGUiPjE3PC9yZWYtdHlwZT48Y29udHJp
YnV0b3JzPjxhdXRob3JzPjxhdXRob3I+THVuZGdyZW4sIFRvbW15PC9hdXRob3I+PGF1dGhvcj5N
YXJrbHVuZCwgUGVyLU9sb3Y8L2F1dGhvcj48YXV0aG9yPlNhbWFrb3ZsaXMsIEV2YTwvYXV0aG9y
PjxhdXRob3I+WmhvdSwgV2VuY2hhbzwvYXV0aG9yPjwvYXV0aG9ycz48L2NvbnRyaWJ1dG9ycz48
dGl0bGVzPjx0aXRsZT5DYXJib24gcHJpY2VzIGFuZCBpbmNlbnRpdmVzIGZvciB0ZWNobm9sb2dp
Y2FsIGRldmVsb3BtZW50PC90aXRsZT48c2Vjb25kYXJ5LXRpdGxlPkpvdXJuYWwgb2YgRW52aXJv
bm1lbnRhbCBNYW5hZ2VtZW50PC9zZWNvbmRhcnktdGl0bGU+PC90aXRsZXM+PHBlcmlvZGljYWw+
PGZ1bGwtdGl0bGU+Sm91cm5hbCBvZiBFbnZpcm9ubWVudGFsIE1hbmFnZW1lbnQ8L2Z1bGwtdGl0
bGU+PC9wZXJpb2RpY2FsPjxwYWdlcz4zOTMtNDAzPC9wYWdlcz48dm9sdW1lPjE1MDwvdm9sdW1l
PjxrZXl3b3Jkcz48a2V5d29yZD5DTyB0YXg8L2tleXdvcmQ+PGtleXdvcmQ+RVUgRVRTPC9rZXl3
b3JkPjxrZXl3b3JkPkx1ZW5iZXJnZXIgdG90YWwgZmFjdG9yIHByb2R1Y3Rpdml0eSBpbmRpY2F0
b3I8L2tleXdvcmQ+PGtleXdvcmQ+R01NPC9rZXl3b3JkPjwva2V5d29yZHM+PGRhdGVzPjx5ZWFy
PjIwMTU8L3llYXI+PHB1Yi1kYXRlcz48ZGF0ZT4yMDE1LzAzLzAxLzwvZGF0ZT48L3B1Yi1kYXRl
cz48L2RhdGVzPjxpc2JuPjAzMDEtNDc5NzwvaXNibj48dXJscz48cmVsYXRlZC11cmxzPjx1cmw+
aHR0cDovL3d3dy5zY2llbmNlZGlyZWN0LmNvbS9zY2llbmNlL2FydGljbGUvcGlpL1MwMzAxNDc5
NzE0MDA1OTIxPC91cmw+PC9yZWxhdGVkLXVybHM+PC91cmxzPjxlbGVjdHJvbmljLXJlc291cmNl
LW51bT5odHRwczovL2RvaS5vcmcvMTAuMTAxNi9qLmplbnZtYW4uMjAxNC4xMi4wMTU8L2VsZWN0
cm9uaWMtcmVzb3VyY2UtbnVtPjwvcmVjb3JkPjwvQ2l0ZT48L0VuZE5vdGU+
</w:fldData>
        </w:fldChar>
      </w:r>
      <w:r w:rsidR="0062053B" w:rsidRPr="0073215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62053B" w:rsidRPr="00732156">
        <w:rPr>
          <w:rFonts w:ascii="Times New Roman" w:hAnsi="Times New Roman" w:cs="Times New Roman"/>
          <w:sz w:val="24"/>
          <w:szCs w:val="24"/>
        </w:rPr>
      </w:r>
      <w:r w:rsidR="0062053B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62053B" w:rsidRPr="00732156">
        <w:rPr>
          <w:rFonts w:ascii="Times New Roman" w:hAnsi="Times New Roman" w:cs="Times New Roman"/>
          <w:sz w:val="24"/>
          <w:szCs w:val="24"/>
        </w:rPr>
      </w:r>
      <w:r w:rsidR="0062053B" w:rsidRPr="00732156">
        <w:rPr>
          <w:rFonts w:ascii="Times New Roman" w:hAnsi="Times New Roman" w:cs="Times New Roman"/>
          <w:sz w:val="24"/>
          <w:szCs w:val="24"/>
        </w:rPr>
        <w:fldChar w:fldCharType="separate"/>
      </w:r>
      <w:r w:rsidR="0062053B" w:rsidRPr="00732156">
        <w:rPr>
          <w:rFonts w:ascii="Times New Roman" w:hAnsi="Times New Roman" w:cs="Times New Roman"/>
          <w:sz w:val="24"/>
          <w:szCs w:val="24"/>
        </w:rPr>
        <w:t>(Lundgren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et al </w:t>
      </w:r>
      <w:r w:rsidR="0062053B" w:rsidRPr="00732156">
        <w:rPr>
          <w:rFonts w:ascii="Times New Roman" w:hAnsi="Times New Roman" w:cs="Times New Roman"/>
          <w:sz w:val="24"/>
          <w:szCs w:val="24"/>
        </w:rPr>
        <w:t>2015; Mascher 2018; Mo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="0062053B" w:rsidRPr="00732156">
        <w:rPr>
          <w:rFonts w:ascii="Times New Roman" w:hAnsi="Times New Roman" w:cs="Times New Roman"/>
          <w:sz w:val="24"/>
          <w:szCs w:val="24"/>
        </w:rPr>
        <w:t xml:space="preserve"> 2016; Rogge </w:t>
      </w:r>
      <w:r w:rsidR="001627BA" w:rsidRPr="00732156">
        <w:rPr>
          <w:rFonts w:ascii="Times New Roman" w:hAnsi="Times New Roman" w:cs="Times New Roman"/>
          <w:sz w:val="24"/>
          <w:szCs w:val="24"/>
        </w:rPr>
        <w:t>and</w:t>
      </w:r>
      <w:r w:rsidR="0062053B" w:rsidRPr="00732156">
        <w:rPr>
          <w:rFonts w:ascii="Times New Roman" w:hAnsi="Times New Roman" w:cs="Times New Roman"/>
          <w:sz w:val="24"/>
          <w:szCs w:val="24"/>
        </w:rPr>
        <w:t xml:space="preserve"> Hoffmann 2010; Sandoff </w:t>
      </w:r>
      <w:r w:rsidR="001627BA" w:rsidRPr="00732156">
        <w:rPr>
          <w:rFonts w:ascii="Times New Roman" w:hAnsi="Times New Roman" w:cs="Times New Roman"/>
          <w:sz w:val="24"/>
          <w:szCs w:val="24"/>
        </w:rPr>
        <w:t>and</w:t>
      </w:r>
      <w:r w:rsidR="0062053B" w:rsidRPr="00732156">
        <w:rPr>
          <w:rFonts w:ascii="Times New Roman" w:hAnsi="Times New Roman" w:cs="Times New Roman"/>
          <w:sz w:val="24"/>
          <w:szCs w:val="24"/>
        </w:rPr>
        <w:t xml:space="preserve"> Schaad 2009)</w:t>
      </w:r>
      <w:r w:rsidR="0062053B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. Despite the possible link between decoupling and carbon pricing in terms of cost-efficient GHG mitigation, few studies </w:t>
      </w:r>
      <w:r w:rsidR="00C201EA" w:rsidRPr="00732156">
        <w:rPr>
          <w:rFonts w:ascii="Times New Roman" w:hAnsi="Times New Roman" w:cs="Times New Roman"/>
          <w:sz w:val="24"/>
          <w:szCs w:val="24"/>
        </w:rPr>
        <w:t xml:space="preserve">have 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analyzed their relationship </w:t>
      </w:r>
      <w:r w:rsidR="00C201EA" w:rsidRPr="00732156">
        <w:rPr>
          <w:rFonts w:ascii="Times New Roman" w:hAnsi="Times New Roman" w:cs="Times New Roman"/>
          <w:sz w:val="24"/>
          <w:szCs w:val="24"/>
        </w:rPr>
        <w:t xml:space="preserve">using </w:t>
      </w:r>
      <w:r w:rsidR="00BE346E" w:rsidRPr="00732156">
        <w:rPr>
          <w:rFonts w:ascii="Times New Roman" w:hAnsi="Times New Roman" w:cs="Times New Roman"/>
          <w:sz w:val="24"/>
          <w:szCs w:val="24"/>
        </w:rPr>
        <w:t>time-series and cross-country comparison</w:t>
      </w:r>
      <w:r w:rsidR="00C201EA" w:rsidRPr="00732156">
        <w:rPr>
          <w:rFonts w:ascii="Times New Roman" w:hAnsi="Times New Roman" w:cs="Times New Roman"/>
          <w:sz w:val="24"/>
          <w:szCs w:val="24"/>
        </w:rPr>
        <w:t>s</w:t>
      </w:r>
      <w:r w:rsidR="00BE346E" w:rsidRPr="0073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3985" w14:textId="03CE13C2" w:rsidR="003A13FC" w:rsidRPr="00732156" w:rsidRDefault="003A13FC" w:rsidP="00DA7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A careful examination of their relationship can provide two implications. </w:t>
      </w:r>
      <w:r w:rsidR="007D3ACB" w:rsidRPr="00732156">
        <w:rPr>
          <w:rFonts w:ascii="Times New Roman" w:hAnsi="Times New Roman" w:cs="Times New Roman"/>
          <w:sz w:val="24"/>
          <w:szCs w:val="24"/>
        </w:rPr>
        <w:t>First,</w:t>
      </w:r>
      <w:r w:rsidRPr="00732156">
        <w:rPr>
          <w:rFonts w:ascii="Times New Roman" w:hAnsi="Times New Roman" w:cs="Times New Roman"/>
          <w:sz w:val="24"/>
          <w:szCs w:val="24"/>
        </w:rPr>
        <w:t xml:space="preserve"> understanding 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relationship between decoupling and carbon pricing generates testable hypotheses that </w:t>
      </w:r>
      <w:r w:rsidR="007D3ACB" w:rsidRPr="00732156">
        <w:rPr>
          <w:rFonts w:ascii="Times New Roman" w:hAnsi="Times New Roman" w:cs="Times New Roman"/>
          <w:sz w:val="24"/>
          <w:szCs w:val="24"/>
        </w:rPr>
        <w:t xml:space="preserve">can </w:t>
      </w:r>
      <w:r w:rsidRPr="00732156">
        <w:rPr>
          <w:rFonts w:ascii="Times New Roman" w:hAnsi="Times New Roman" w:cs="Times New Roman"/>
          <w:sz w:val="24"/>
          <w:szCs w:val="24"/>
        </w:rPr>
        <w:t xml:space="preserve">explain the time-series and cross-country variation in the degree of decoupling. To test these hypotheses, we use panel data </w:t>
      </w:r>
      <w:r w:rsidR="007D3ACB" w:rsidRPr="00732156">
        <w:rPr>
          <w:rFonts w:ascii="Times New Roman" w:hAnsi="Times New Roman" w:cs="Times New Roman"/>
          <w:sz w:val="24"/>
          <w:szCs w:val="24"/>
        </w:rPr>
        <w:t xml:space="preserve">from </w:t>
      </w:r>
      <w:r w:rsidRPr="00732156">
        <w:rPr>
          <w:rFonts w:ascii="Times New Roman" w:hAnsi="Times New Roman" w:cs="Times New Roman"/>
          <w:sz w:val="24"/>
          <w:szCs w:val="24"/>
        </w:rPr>
        <w:t xml:space="preserve">30 European countries, </w:t>
      </w:r>
      <w:r w:rsidR="007D3ACB" w:rsidRPr="00732156">
        <w:rPr>
          <w:rFonts w:ascii="Times New Roman" w:hAnsi="Times New Roman" w:cs="Times New Roman"/>
          <w:sz w:val="24"/>
          <w:szCs w:val="24"/>
        </w:rPr>
        <w:t xml:space="preserve">across the period of </w:t>
      </w:r>
      <w:r w:rsidRPr="00732156">
        <w:rPr>
          <w:rFonts w:ascii="Times New Roman" w:hAnsi="Times New Roman" w:cs="Times New Roman"/>
          <w:sz w:val="24"/>
          <w:szCs w:val="24"/>
        </w:rPr>
        <w:t xml:space="preserve">1996-2014. 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Within </w:t>
      </w:r>
      <w:r w:rsidRPr="00732156">
        <w:rPr>
          <w:rFonts w:ascii="Times New Roman" w:hAnsi="Times New Roman" w:cs="Times New Roman"/>
          <w:sz w:val="24"/>
          <w:szCs w:val="24"/>
        </w:rPr>
        <w:t>this sample of European countries, there exists</w:t>
      </w:r>
      <w:r w:rsidR="009C2932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>sufficient variation in the degree of economic growth, GHG emissions, and carbon pricing policies. Due to</w:t>
      </w:r>
      <w:r w:rsidR="00EF1F78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Pr="00732156">
        <w:rPr>
          <w:rFonts w:ascii="Times New Roman" w:hAnsi="Times New Roman" w:cs="Times New Roman"/>
          <w:sz w:val="24"/>
          <w:szCs w:val="24"/>
        </w:rPr>
        <w:t xml:space="preserve"> salience of </w:t>
      </w:r>
      <w:r w:rsidR="007D3ACB" w:rsidRPr="00732156">
        <w:rPr>
          <w:rFonts w:ascii="Times New Roman" w:hAnsi="Times New Roman" w:cs="Times New Roman"/>
          <w:sz w:val="24"/>
          <w:szCs w:val="24"/>
        </w:rPr>
        <w:t xml:space="preserve">the issue of </w:t>
      </w:r>
      <w:r w:rsidRPr="00732156">
        <w:rPr>
          <w:rFonts w:ascii="Times New Roman" w:hAnsi="Times New Roman" w:cs="Times New Roman"/>
          <w:sz w:val="24"/>
          <w:szCs w:val="24"/>
        </w:rPr>
        <w:t xml:space="preserve">climate change issue in </w:t>
      </w:r>
      <w:r w:rsidR="007D3ACB" w:rsidRPr="00732156">
        <w:rPr>
          <w:rFonts w:ascii="Times New Roman" w:hAnsi="Times New Roman" w:cs="Times New Roman"/>
          <w:sz w:val="24"/>
          <w:szCs w:val="24"/>
        </w:rPr>
        <w:t>Europe</w:t>
      </w:r>
      <w:r w:rsidRPr="00732156">
        <w:rPr>
          <w:rFonts w:ascii="Times New Roman" w:hAnsi="Times New Roman" w:cs="Times New Roman"/>
          <w:sz w:val="24"/>
          <w:szCs w:val="24"/>
        </w:rPr>
        <w:t>, 47% and 28% of 30 European countries adopted emission trading and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>carbon tax</w:t>
      </w:r>
      <w:r w:rsidR="007D3ACB" w:rsidRPr="00732156">
        <w:rPr>
          <w:rFonts w:ascii="Times New Roman" w:hAnsi="Times New Roman" w:cs="Times New Roman"/>
          <w:sz w:val="24"/>
          <w:szCs w:val="24"/>
        </w:rPr>
        <w:t>, respectively,</w:t>
      </w:r>
      <w:r w:rsidRPr="00732156">
        <w:rPr>
          <w:rFonts w:ascii="Times New Roman" w:hAnsi="Times New Roman" w:cs="Times New Roman"/>
          <w:sz w:val="24"/>
          <w:szCs w:val="24"/>
        </w:rPr>
        <w:t xml:space="preserve"> during the period of 1996-2014. We leverage this variation in the adoption of carbon pricing across the</w:t>
      </w:r>
      <w:r w:rsidR="007D3ACB" w:rsidRPr="00732156">
        <w:rPr>
          <w:rFonts w:ascii="Times New Roman" w:hAnsi="Times New Roman" w:cs="Times New Roman"/>
          <w:sz w:val="24"/>
          <w:szCs w:val="24"/>
        </w:rPr>
        <w:t>se</w:t>
      </w:r>
      <w:r w:rsidRPr="00732156">
        <w:rPr>
          <w:rFonts w:ascii="Times New Roman" w:hAnsi="Times New Roman" w:cs="Times New Roman"/>
          <w:sz w:val="24"/>
          <w:szCs w:val="24"/>
        </w:rPr>
        <w:t xml:space="preserve"> European countries to empirically test its impact on decoupling.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 We further justify our sample selection in the following section. </w:t>
      </w:r>
    </w:p>
    <w:p w14:paraId="1EAB6A7E" w14:textId="70B1E497" w:rsidR="00BE346E" w:rsidRPr="00732156" w:rsidRDefault="003A13FC" w:rsidP="00DA7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D3ACB" w:rsidRPr="00732156">
        <w:rPr>
          <w:rFonts w:ascii="Times New Roman" w:hAnsi="Times New Roman" w:cs="Times New Roman"/>
          <w:sz w:val="24"/>
          <w:szCs w:val="24"/>
        </w:rPr>
        <w:t>Second</w:t>
      </w:r>
      <w:r w:rsidR="00652F0A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decoupling allows us to test the effectiveness of different policy instruments for pricing carbon. </w:t>
      </w:r>
      <w:r w:rsidR="00652F0A" w:rsidRPr="00732156">
        <w:rPr>
          <w:rFonts w:ascii="Times New Roman" w:hAnsi="Times New Roman" w:cs="Times New Roman"/>
          <w:sz w:val="24"/>
          <w:szCs w:val="24"/>
        </w:rPr>
        <w:t>T</w:t>
      </w:r>
      <w:r w:rsidRPr="00732156">
        <w:rPr>
          <w:rFonts w:ascii="Times New Roman" w:hAnsi="Times New Roman" w:cs="Times New Roman"/>
          <w:sz w:val="24"/>
          <w:szCs w:val="24"/>
        </w:rPr>
        <w:t>heoretical approach</w:t>
      </w:r>
      <w:r w:rsidR="00652F0A" w:rsidRPr="00732156">
        <w:rPr>
          <w:rFonts w:ascii="Times New Roman" w:hAnsi="Times New Roman" w:cs="Times New Roman"/>
          <w:sz w:val="24"/>
          <w:szCs w:val="24"/>
        </w:rPr>
        <w:t>es</w:t>
      </w:r>
      <w:r w:rsidRPr="00732156">
        <w:rPr>
          <w:rFonts w:ascii="Times New Roman" w:hAnsi="Times New Roman" w:cs="Times New Roman"/>
          <w:sz w:val="24"/>
          <w:szCs w:val="24"/>
        </w:rPr>
        <w:t xml:space="preserve"> that predict carbon pricing to be effective in reducing GHG abatement cost </w:t>
      </w:r>
      <w:r w:rsidR="00652F0A" w:rsidRPr="00732156">
        <w:rPr>
          <w:rFonts w:ascii="Times New Roman" w:hAnsi="Times New Roman" w:cs="Times New Roman"/>
          <w:sz w:val="24"/>
          <w:szCs w:val="24"/>
        </w:rPr>
        <w:t xml:space="preserve">are </w:t>
      </w:r>
      <w:r w:rsidRPr="00732156">
        <w:rPr>
          <w:rFonts w:ascii="Times New Roman" w:hAnsi="Times New Roman" w:cs="Times New Roman"/>
          <w:sz w:val="24"/>
          <w:szCs w:val="24"/>
        </w:rPr>
        <w:t xml:space="preserve">well established, yet </w:t>
      </w:r>
      <w:r w:rsidR="00652F0A" w:rsidRPr="00732156">
        <w:rPr>
          <w:rFonts w:ascii="Times New Roman" w:hAnsi="Times New Roman" w:cs="Times New Roman"/>
          <w:sz w:val="24"/>
          <w:szCs w:val="24"/>
        </w:rPr>
        <w:t xml:space="preserve">few studies have used </w:t>
      </w:r>
      <w:r w:rsidRPr="00732156">
        <w:rPr>
          <w:rFonts w:ascii="Times New Roman" w:hAnsi="Times New Roman" w:cs="Times New Roman"/>
          <w:sz w:val="24"/>
          <w:szCs w:val="24"/>
        </w:rPr>
        <w:t xml:space="preserve">an empirical approach </w:t>
      </w:r>
      <w:r w:rsidR="00652F0A" w:rsidRPr="00732156">
        <w:rPr>
          <w:rFonts w:ascii="Times New Roman" w:hAnsi="Times New Roman" w:cs="Times New Roman"/>
          <w:sz w:val="24"/>
          <w:szCs w:val="24"/>
        </w:rPr>
        <w:t>to examine</w:t>
      </w:r>
      <w:r w:rsidRPr="00732156">
        <w:rPr>
          <w:rFonts w:ascii="Times New Roman" w:hAnsi="Times New Roman" w:cs="Times New Roman"/>
          <w:sz w:val="24"/>
          <w:szCs w:val="24"/>
        </w:rPr>
        <w:t xml:space="preserve"> whether or which type of policy instruments </w:t>
      </w:r>
      <w:r w:rsidR="00652F0A" w:rsidRPr="00732156">
        <w:rPr>
          <w:rFonts w:ascii="Times New Roman" w:hAnsi="Times New Roman" w:cs="Times New Roman"/>
          <w:sz w:val="24"/>
          <w:szCs w:val="24"/>
        </w:rPr>
        <w:t xml:space="preserve">are most effective for </w:t>
      </w:r>
      <w:r w:rsidRPr="00732156">
        <w:rPr>
          <w:rFonts w:ascii="Times New Roman" w:hAnsi="Times New Roman" w:cs="Times New Roman"/>
          <w:sz w:val="24"/>
          <w:szCs w:val="24"/>
        </w:rPr>
        <w:t>put</w:t>
      </w:r>
      <w:r w:rsidR="00652F0A" w:rsidRPr="00732156">
        <w:rPr>
          <w:rFonts w:ascii="Times New Roman" w:hAnsi="Times New Roman" w:cs="Times New Roman"/>
          <w:sz w:val="24"/>
          <w:szCs w:val="24"/>
        </w:rPr>
        <w:t>ting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a price on carbon. </w:t>
      </w:r>
      <w:r w:rsidR="00E67E56" w:rsidRPr="00732156">
        <w:rPr>
          <w:rFonts w:ascii="Times New Roman" w:hAnsi="Times New Roman" w:cs="Times New Roman"/>
          <w:sz w:val="24"/>
          <w:szCs w:val="24"/>
        </w:rPr>
        <w:t xml:space="preserve">Here, we examine 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effectiveness of different carbon pricing policies in promoting decoupling leveraging a single measurement for decoupling, which is emission intensity (GHG emission per GDP), and showing how </w:t>
      </w:r>
      <w:r w:rsidR="00E67E56" w:rsidRPr="00732156">
        <w:rPr>
          <w:rFonts w:ascii="Times New Roman" w:hAnsi="Times New Roman" w:cs="Times New Roman"/>
          <w:sz w:val="24"/>
          <w:szCs w:val="24"/>
        </w:rPr>
        <w:t xml:space="preserve">its relationship </w:t>
      </w:r>
      <w:r w:rsidRPr="00732156">
        <w:rPr>
          <w:rFonts w:ascii="Times New Roman" w:hAnsi="Times New Roman" w:cs="Times New Roman"/>
          <w:sz w:val="24"/>
          <w:szCs w:val="24"/>
        </w:rPr>
        <w:t>to each policy</w:t>
      </w:r>
      <w:r w:rsidR="00E67E56" w:rsidRPr="00732156">
        <w:rPr>
          <w:rFonts w:ascii="Times New Roman" w:hAnsi="Times New Roman" w:cs="Times New Roman"/>
          <w:sz w:val="24"/>
          <w:szCs w:val="24"/>
        </w:rPr>
        <w:t xml:space="preserve"> differs</w:t>
      </w:r>
      <w:r w:rsidRPr="00732156">
        <w:rPr>
          <w:rFonts w:ascii="Times New Roman" w:hAnsi="Times New Roman" w:cs="Times New Roman"/>
          <w:sz w:val="24"/>
          <w:szCs w:val="24"/>
        </w:rPr>
        <w:t>.</w:t>
      </w:r>
    </w:p>
    <w:p w14:paraId="644DE7AA" w14:textId="0F7C340C" w:rsidR="003E7CCD" w:rsidRPr="00732156" w:rsidRDefault="003E7CCD" w:rsidP="00984C37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This paper is structured as follow</w:t>
      </w:r>
      <w:r w:rsidR="00984C37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C34608" w:rsidRPr="00732156">
        <w:rPr>
          <w:rFonts w:ascii="Times New Roman" w:hAnsi="Times New Roman" w:cs="Times New Roman"/>
          <w:sz w:val="24"/>
          <w:szCs w:val="24"/>
        </w:rPr>
        <w:t>The next section</w:t>
      </w:r>
      <w:r w:rsidRPr="00732156">
        <w:rPr>
          <w:rFonts w:ascii="Times New Roman" w:hAnsi="Times New Roman" w:cs="Times New Roman"/>
          <w:sz w:val="24"/>
          <w:szCs w:val="24"/>
        </w:rPr>
        <w:t xml:space="preserve"> review</w:t>
      </w:r>
      <w:r w:rsidR="00984C37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the literature on decoupling and carbon pricing</w:t>
      </w:r>
      <w:r w:rsidR="008E3D51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to identi</w:t>
      </w:r>
      <w:r w:rsidR="00267405" w:rsidRPr="00732156">
        <w:rPr>
          <w:rFonts w:ascii="Times New Roman" w:hAnsi="Times New Roman" w:cs="Times New Roman"/>
          <w:sz w:val="24"/>
          <w:szCs w:val="24"/>
        </w:rPr>
        <w:t>f</w:t>
      </w:r>
      <w:r w:rsidRPr="00732156">
        <w:rPr>
          <w:rFonts w:ascii="Times New Roman" w:hAnsi="Times New Roman" w:cs="Times New Roman"/>
          <w:sz w:val="24"/>
          <w:szCs w:val="24"/>
        </w:rPr>
        <w:t xml:space="preserve">y the </w:t>
      </w:r>
      <w:r w:rsidR="008E3D51" w:rsidRPr="00732156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732156">
        <w:rPr>
          <w:rFonts w:ascii="Times New Roman" w:hAnsi="Times New Roman" w:cs="Times New Roman"/>
          <w:sz w:val="24"/>
          <w:szCs w:val="24"/>
        </w:rPr>
        <w:t xml:space="preserve">gap </w:t>
      </w:r>
      <w:r w:rsidR="008E3D51" w:rsidRPr="00732156">
        <w:rPr>
          <w:rFonts w:ascii="Times New Roman" w:hAnsi="Times New Roman" w:cs="Times New Roman"/>
          <w:sz w:val="24"/>
          <w:szCs w:val="24"/>
        </w:rPr>
        <w:t xml:space="preserve">that we aim </w:t>
      </w:r>
      <w:r w:rsidRPr="00732156">
        <w:rPr>
          <w:rFonts w:ascii="Times New Roman" w:hAnsi="Times New Roman" w:cs="Times New Roman"/>
          <w:sz w:val="24"/>
          <w:szCs w:val="24"/>
        </w:rPr>
        <w:t>to fill. We also theorize the link</w:t>
      </w:r>
      <w:r w:rsidR="008E3D51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between emission trading and carbon tax, and emission intensity.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67405" w:rsidRPr="00732156">
        <w:rPr>
          <w:rFonts w:ascii="Times New Roman" w:hAnsi="Times New Roman" w:cs="Times New Roman"/>
          <w:sz w:val="24"/>
          <w:szCs w:val="24"/>
        </w:rPr>
        <w:t>f</w:t>
      </w:r>
      <w:r w:rsidRPr="00732156">
        <w:rPr>
          <w:rFonts w:ascii="Times New Roman" w:hAnsi="Times New Roman" w:cs="Times New Roman"/>
          <w:sz w:val="24"/>
          <w:szCs w:val="24"/>
        </w:rPr>
        <w:t xml:space="preserve">ollowing section presents data, data sources, and the method that this study uses. Analysis outcomes and discussion sections </w:t>
      </w:r>
      <w:r w:rsidR="008E3D51" w:rsidRPr="00732156">
        <w:rPr>
          <w:rFonts w:ascii="Times New Roman" w:hAnsi="Times New Roman" w:cs="Times New Roman"/>
          <w:sz w:val="24"/>
          <w:szCs w:val="24"/>
        </w:rPr>
        <w:t xml:space="preserve">then </w:t>
      </w:r>
      <w:r w:rsidRPr="00732156">
        <w:rPr>
          <w:rFonts w:ascii="Times New Roman" w:hAnsi="Times New Roman" w:cs="Times New Roman"/>
          <w:sz w:val="24"/>
          <w:szCs w:val="24"/>
        </w:rPr>
        <w:t xml:space="preserve">follow. We conclude </w:t>
      </w:r>
      <w:r w:rsidR="00267405" w:rsidRPr="00732156">
        <w:rPr>
          <w:rFonts w:ascii="Times New Roman" w:hAnsi="Times New Roman" w:cs="Times New Roman"/>
          <w:sz w:val="24"/>
          <w:szCs w:val="24"/>
        </w:rPr>
        <w:t>by</w:t>
      </w:r>
      <w:r w:rsidRPr="00732156">
        <w:rPr>
          <w:rFonts w:ascii="Times New Roman" w:hAnsi="Times New Roman" w:cs="Times New Roman"/>
          <w:sz w:val="24"/>
          <w:szCs w:val="24"/>
        </w:rPr>
        <w:t xml:space="preserve"> highlight</w:t>
      </w:r>
      <w:r w:rsidR="00984C37" w:rsidRPr="00732156">
        <w:rPr>
          <w:rFonts w:ascii="Times New Roman" w:hAnsi="Times New Roman" w:cs="Times New Roman"/>
          <w:sz w:val="24"/>
          <w:szCs w:val="24"/>
        </w:rPr>
        <w:t>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the contributions</w:t>
      </w:r>
      <w:r w:rsidR="008E3D51" w:rsidRPr="00732156">
        <w:rPr>
          <w:rFonts w:ascii="Times New Roman" w:hAnsi="Times New Roman" w:cs="Times New Roman"/>
          <w:sz w:val="24"/>
          <w:szCs w:val="24"/>
        </w:rPr>
        <w:t xml:space="preserve"> and </w:t>
      </w:r>
      <w:r w:rsidRPr="00732156">
        <w:rPr>
          <w:rFonts w:ascii="Times New Roman" w:hAnsi="Times New Roman" w:cs="Times New Roman"/>
          <w:sz w:val="24"/>
          <w:szCs w:val="24"/>
        </w:rPr>
        <w:t xml:space="preserve">policy </w:t>
      </w:r>
      <w:r w:rsidR="00267405" w:rsidRPr="00732156">
        <w:rPr>
          <w:rFonts w:ascii="Times New Roman" w:hAnsi="Times New Roman" w:cs="Times New Roman"/>
          <w:sz w:val="24"/>
          <w:szCs w:val="24"/>
        </w:rPr>
        <w:t>implications</w:t>
      </w:r>
      <w:r w:rsidRPr="00732156">
        <w:rPr>
          <w:rFonts w:ascii="Times New Roman" w:hAnsi="Times New Roman" w:cs="Times New Roman"/>
          <w:sz w:val="24"/>
          <w:szCs w:val="24"/>
        </w:rPr>
        <w:t>, and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E3D51" w:rsidRPr="00732156">
        <w:rPr>
          <w:rFonts w:ascii="Times New Roman" w:hAnsi="Times New Roman" w:cs="Times New Roman"/>
          <w:sz w:val="24"/>
          <w:szCs w:val="24"/>
        </w:rPr>
        <w:t xml:space="preserve">provide </w:t>
      </w:r>
      <w:r w:rsidR="00267405" w:rsidRPr="00732156">
        <w:rPr>
          <w:rFonts w:ascii="Times New Roman" w:hAnsi="Times New Roman" w:cs="Times New Roman"/>
          <w:sz w:val="24"/>
          <w:szCs w:val="24"/>
        </w:rPr>
        <w:t>suggestion</w:t>
      </w:r>
      <w:r w:rsidR="008E3D51" w:rsidRPr="00732156">
        <w:rPr>
          <w:rFonts w:ascii="Times New Roman" w:hAnsi="Times New Roman" w:cs="Times New Roman"/>
          <w:sz w:val="24"/>
          <w:szCs w:val="24"/>
        </w:rPr>
        <w:t>s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for</w:t>
      </w:r>
      <w:r w:rsidRPr="00732156">
        <w:rPr>
          <w:rFonts w:ascii="Times New Roman" w:hAnsi="Times New Roman" w:cs="Times New Roman"/>
          <w:sz w:val="24"/>
          <w:szCs w:val="24"/>
        </w:rPr>
        <w:t xml:space="preserve"> future research.</w:t>
      </w:r>
    </w:p>
    <w:p w14:paraId="388DAD60" w14:textId="77777777" w:rsidR="00984C37" w:rsidRPr="00732156" w:rsidRDefault="00984C37" w:rsidP="00984C37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</w:p>
    <w:p w14:paraId="4AD16ECF" w14:textId="2F943D13" w:rsidR="00F57D39" w:rsidRPr="00732156" w:rsidRDefault="002F0E6A" w:rsidP="002F0E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156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  <w:r w:rsidR="00C560E4" w:rsidRPr="00732156">
        <w:rPr>
          <w:rFonts w:ascii="Times New Roman" w:hAnsi="Times New Roman" w:cs="Times New Roman"/>
          <w:b/>
          <w:bCs/>
          <w:sz w:val="24"/>
          <w:szCs w:val="24"/>
        </w:rPr>
        <w:t>: Decoupling and Carbon pricing</w:t>
      </w:r>
    </w:p>
    <w:p w14:paraId="5CCF98B0" w14:textId="02DF9311" w:rsidR="00A135BE" w:rsidRPr="00732156" w:rsidRDefault="00586395" w:rsidP="0058639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32156">
        <w:rPr>
          <w:rFonts w:ascii="Times New Roman" w:hAnsi="Times New Roman" w:cs="Times New Roman"/>
          <w:i/>
          <w:iCs/>
          <w:sz w:val="24"/>
          <w:szCs w:val="24"/>
        </w:rPr>
        <w:t xml:space="preserve">Emission Intensity as </w:t>
      </w:r>
      <w:r w:rsidR="00496C83" w:rsidRPr="00732156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r w:rsidRPr="00732156">
        <w:rPr>
          <w:rFonts w:ascii="Times New Roman" w:hAnsi="Times New Roman" w:cs="Times New Roman"/>
          <w:i/>
          <w:iCs/>
          <w:sz w:val="24"/>
          <w:szCs w:val="24"/>
        </w:rPr>
        <w:t>Indicator</w:t>
      </w:r>
      <w:r w:rsidR="00496C83" w:rsidRPr="00732156">
        <w:rPr>
          <w:rFonts w:ascii="Times New Roman" w:hAnsi="Times New Roman" w:cs="Times New Roman"/>
          <w:i/>
          <w:iCs/>
          <w:sz w:val="24"/>
          <w:szCs w:val="24"/>
        </w:rPr>
        <w:t xml:space="preserve"> for Decoupling</w:t>
      </w:r>
    </w:p>
    <w:p w14:paraId="2CB0A1FA" w14:textId="00157D73" w:rsidR="00694771" w:rsidRPr="00732156" w:rsidRDefault="00496C83" w:rsidP="00A135BE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In environmental studies literature, decoupling 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is referred to </w:t>
      </w:r>
      <w:r w:rsidRPr="00732156">
        <w:rPr>
          <w:rFonts w:ascii="Times New Roman" w:hAnsi="Times New Roman" w:cs="Times New Roman"/>
          <w:sz w:val="24"/>
          <w:szCs w:val="24"/>
        </w:rPr>
        <w:t xml:space="preserve">on a country level </w:t>
      </w:r>
      <w:r w:rsidR="00694771" w:rsidRPr="00732156">
        <w:rPr>
          <w:rFonts w:ascii="Times New Roman" w:hAnsi="Times New Roman" w:cs="Times New Roman"/>
          <w:sz w:val="24"/>
          <w:szCs w:val="24"/>
        </w:rPr>
        <w:t>as a phenomenon where</w:t>
      </w:r>
      <w:r w:rsidRPr="00732156">
        <w:rPr>
          <w:rFonts w:ascii="Times New Roman" w:hAnsi="Times New Roman" w:cs="Times New Roman"/>
          <w:sz w:val="24"/>
          <w:szCs w:val="24"/>
        </w:rPr>
        <w:t>by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694771" w:rsidRPr="00732156">
        <w:rPr>
          <w:rFonts w:ascii="Times New Roman" w:hAnsi="Times New Roman" w:cs="Times New Roman"/>
          <w:sz w:val="24"/>
          <w:szCs w:val="24"/>
        </w:rPr>
        <w:t>national economy does not shrink</w:t>
      </w:r>
      <w:r w:rsidRPr="00732156">
        <w:rPr>
          <w:rFonts w:ascii="Times New Roman" w:hAnsi="Times New Roman" w:cs="Times New Roman"/>
          <w:sz w:val="24"/>
          <w:szCs w:val="24"/>
        </w:rPr>
        <w:t>,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 even though </w:t>
      </w:r>
      <w:r w:rsidRPr="00732156">
        <w:rPr>
          <w:rFonts w:ascii="Times New Roman" w:hAnsi="Times New Roman" w:cs="Times New Roman"/>
          <w:sz w:val="24"/>
          <w:szCs w:val="24"/>
        </w:rPr>
        <w:t xml:space="preserve">said nations’ </w:t>
      </w:r>
      <w:r w:rsidR="00694771" w:rsidRPr="00732156">
        <w:rPr>
          <w:rFonts w:ascii="Times New Roman" w:hAnsi="Times New Roman" w:cs="Times New Roman"/>
          <w:sz w:val="24"/>
          <w:szCs w:val="24"/>
        </w:rPr>
        <w:t>GHG emission</w:t>
      </w:r>
      <w:r w:rsidRPr="00732156">
        <w:rPr>
          <w:rFonts w:ascii="Times New Roman" w:hAnsi="Times New Roman" w:cs="Times New Roman"/>
          <w:sz w:val="24"/>
          <w:szCs w:val="24"/>
        </w:rPr>
        <w:t>s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 xml:space="preserve">decrease </w:t>
      </w:r>
      <w:r w:rsidR="00A135BE" w:rsidRPr="00732156">
        <w:rPr>
          <w:rFonts w:ascii="Times New Roman" w:hAnsi="Times New Roman" w:cs="Times New Roman"/>
          <w:sz w:val="24"/>
          <w:szCs w:val="24"/>
        </w:rPr>
        <w:fldChar w:fldCharType="begin"/>
      </w:r>
      <w:r w:rsidR="00A135BE" w:rsidRPr="0073215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&lt;EndNote&gt;&lt;Cite&gt;&lt;Author&gt;Jorgenson&lt;/Author&gt;&lt;Year&gt;2012&lt;/Year&gt;&lt;RecNum&gt;17&lt;/RecNum&gt;&lt;DisplayText&gt;(Jorgenson &amp;amp; Clark, 2012)&lt;/DisplayText&gt;&lt;record&gt;&lt;rec-number&gt;17&lt;/rec-number&gt;&lt;foreign-keys&gt;&lt;key app="EN" db-id="zpptsp2wfex222ete5t5s09xaex5td9ep9vt" timestamp="1563519454"&gt;17&lt;/key&gt;&lt;/foreign-keys&gt;&lt;ref-type name="Journal Article"&gt;17&lt;/ref-type&gt;&lt;contributors&gt;&lt;authors&gt;&lt;author&gt;Jorgenson, Andrew K.&lt;/author&gt;&lt;author&gt;Clark, Brett&lt;/author&gt;&lt;/authors&gt;&lt;/contributors&gt;&lt;titles&gt;&lt;title&gt;Are the Economy and the Environment Decoupling? A Comparative International Study, 1960&amp;amp;#x2013;2005&lt;/title&gt;&lt;secondary-title&gt;American Journal of Sociology&lt;/secondary-title&gt;&lt;/titles&gt;&lt;periodical&gt;&lt;full-title&gt;American Journal of Sociology&lt;/full-title&gt;&lt;/periodical&gt;&lt;pages&gt;1-44&lt;/pages&gt;&lt;volume&gt;118&lt;/volume&gt;&lt;number&gt;1&lt;/number&gt;&lt;dates&gt;&lt;year&gt;2012&lt;/year&gt;&lt;/dates&gt;&lt;publisher&gt;The University of Chicago Press&lt;/publisher&gt;&lt;isbn&gt;00029602, 15375390&lt;/isbn&gt;&lt;urls&gt;&lt;related-urls&gt;&lt;url&gt;http://www.jstor.org/stable/10.1086/665990&lt;/url&gt;&lt;/related-urls&gt;&lt;/urls&gt;&lt;custom1&gt;Full publication date: July 2012&lt;/custom1&gt;&lt;electronic-resource-num&gt;10.1086/665990&lt;/electronic-resource-num&gt;&lt;/record&gt;&lt;/Cite&gt;&lt;/EndNote&gt;</w:instrText>
      </w:r>
      <w:r w:rsidR="00A135BE" w:rsidRPr="00732156">
        <w:rPr>
          <w:rFonts w:ascii="Times New Roman" w:hAnsi="Times New Roman" w:cs="Times New Roman"/>
          <w:sz w:val="24"/>
          <w:szCs w:val="24"/>
        </w:rPr>
        <w:fldChar w:fldCharType="separate"/>
      </w:r>
      <w:r w:rsidR="00A135BE" w:rsidRPr="00732156">
        <w:rPr>
          <w:rFonts w:ascii="Times New Roman" w:hAnsi="Times New Roman" w:cs="Times New Roman"/>
          <w:sz w:val="24"/>
          <w:szCs w:val="24"/>
        </w:rPr>
        <w:t xml:space="preserve">(Jorgenson </w:t>
      </w:r>
      <w:r w:rsidR="001627BA" w:rsidRPr="00732156">
        <w:rPr>
          <w:rFonts w:ascii="Times New Roman" w:hAnsi="Times New Roman" w:cs="Times New Roman"/>
          <w:sz w:val="24"/>
          <w:szCs w:val="24"/>
        </w:rPr>
        <w:t>and</w:t>
      </w:r>
      <w:r w:rsidR="00A135BE" w:rsidRPr="00732156">
        <w:rPr>
          <w:rFonts w:ascii="Times New Roman" w:hAnsi="Times New Roman" w:cs="Times New Roman"/>
          <w:sz w:val="24"/>
          <w:szCs w:val="24"/>
        </w:rPr>
        <w:t xml:space="preserve"> Clark 2012)</w:t>
      </w:r>
      <w:r w:rsidR="00A135BE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A135BE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Scholars have, however, often used different terms, </w:t>
      </w:r>
      <w:r w:rsidR="005C2BBC">
        <w:rPr>
          <w:rFonts w:ascii="Times New Roman" w:hAnsi="Times New Roman" w:cs="Times New Roman"/>
          <w:sz w:val="24"/>
          <w:szCs w:val="24"/>
        </w:rPr>
        <w:t>such as</w:t>
      </w:r>
      <w:r w:rsidR="00AD6E33">
        <w:rPr>
          <w:rFonts w:ascii="Times New Roman" w:hAnsi="Times New Roman" w:cs="Times New Roman"/>
          <w:sz w:val="24"/>
          <w:szCs w:val="24"/>
        </w:rPr>
        <w:t xml:space="preserve">, </w:t>
      </w:r>
      <w:r w:rsidR="00694771" w:rsidRPr="00732156">
        <w:rPr>
          <w:rFonts w:ascii="Times New Roman" w:hAnsi="Times New Roman" w:cs="Times New Roman"/>
          <w:sz w:val="24"/>
          <w:szCs w:val="24"/>
        </w:rPr>
        <w:t>a low-carbon society or economic growth (Reilly 2013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), </w:t>
      </w:r>
      <w:r w:rsidR="00694771" w:rsidRPr="00732156">
        <w:rPr>
          <w:rFonts w:ascii="Times New Roman" w:hAnsi="Times New Roman" w:cs="Times New Roman"/>
          <w:sz w:val="24"/>
          <w:szCs w:val="24"/>
        </w:rPr>
        <w:t>green economy (Ferguson 2014), or green growth (Damonte 2014)</w:t>
      </w:r>
      <w:r w:rsidRPr="00732156">
        <w:rPr>
          <w:rFonts w:ascii="Times New Roman" w:hAnsi="Times New Roman" w:cs="Times New Roman"/>
          <w:sz w:val="24"/>
          <w:szCs w:val="24"/>
        </w:rPr>
        <w:t>,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 to refer to similar </w:t>
      </w:r>
      <w:r w:rsidRPr="00732156">
        <w:rPr>
          <w:rFonts w:ascii="Times New Roman" w:hAnsi="Times New Roman" w:cs="Times New Roman"/>
          <w:sz w:val="24"/>
          <w:szCs w:val="24"/>
        </w:rPr>
        <w:t>phenomena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242623" w:rsidRPr="00732156">
        <w:rPr>
          <w:rFonts w:ascii="Times New Roman" w:hAnsi="Times New Roman" w:cs="Times New Roman"/>
          <w:sz w:val="24"/>
          <w:szCs w:val="24"/>
        </w:rPr>
        <w:t>P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roponents of decoupling have argued that economic growth can be environment-friendly if energy efficiency is enhanced through technological innovation (Dinda 2004), or </w:t>
      </w:r>
      <w:r w:rsidR="00242623" w:rsidRPr="00732156">
        <w:rPr>
          <w:rFonts w:ascii="Times New Roman" w:hAnsi="Times New Roman" w:cs="Times New Roman"/>
          <w:sz w:val="24"/>
          <w:szCs w:val="24"/>
        </w:rPr>
        <w:t xml:space="preserve">if </w:t>
      </w:r>
      <w:r w:rsidR="00694771" w:rsidRPr="00732156">
        <w:rPr>
          <w:rFonts w:ascii="Times New Roman" w:hAnsi="Times New Roman" w:cs="Times New Roman"/>
          <w:sz w:val="24"/>
          <w:szCs w:val="24"/>
        </w:rPr>
        <w:t xml:space="preserve">increased income leads to demands for environmental regulation (Mol 2002). One hypothesis </w:t>
      </w:r>
      <w:r w:rsidR="00E779E7" w:rsidRPr="00732156">
        <w:rPr>
          <w:rFonts w:ascii="Times New Roman" w:hAnsi="Times New Roman" w:cs="Times New Roman"/>
          <w:sz w:val="24"/>
          <w:szCs w:val="24"/>
        </w:rPr>
        <w:t>based on this idea is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="00E779E7" w:rsidRPr="00732156">
        <w:rPr>
          <w:rFonts w:ascii="Times New Roman" w:hAnsi="Times New Roman" w:cs="Times New Roman"/>
          <w:sz w:val="24"/>
          <w:szCs w:val="24"/>
        </w:rPr>
        <w:t xml:space="preserve"> Environmental Kuznets Curve (EKC) hypothesis</w:t>
      </w:r>
      <w:r w:rsidR="00242623" w:rsidRPr="00732156">
        <w:rPr>
          <w:rFonts w:ascii="Times New Roman" w:hAnsi="Times New Roman" w:cs="Times New Roman"/>
          <w:sz w:val="24"/>
          <w:szCs w:val="24"/>
        </w:rPr>
        <w:t>,</w:t>
      </w:r>
      <w:r w:rsidR="00E779E7" w:rsidRPr="00732156">
        <w:rPr>
          <w:rFonts w:ascii="Times New Roman" w:hAnsi="Times New Roman" w:cs="Times New Roman"/>
          <w:sz w:val="24"/>
          <w:szCs w:val="24"/>
        </w:rPr>
        <w:t xml:space="preserve"> which predicts that a country can achieve decoupling after it has attained </w:t>
      </w:r>
      <w:r w:rsidR="00A522B2" w:rsidRPr="00732156">
        <w:rPr>
          <w:rFonts w:ascii="Times New Roman" w:hAnsi="Times New Roman" w:cs="Times New Roman"/>
          <w:sz w:val="24"/>
          <w:szCs w:val="24"/>
        </w:rPr>
        <w:t>a certain level of economic development (Clulow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A522B2" w:rsidRPr="00732156">
        <w:rPr>
          <w:rFonts w:ascii="Times New Roman" w:hAnsi="Times New Roman" w:cs="Times New Roman"/>
          <w:sz w:val="24"/>
          <w:szCs w:val="24"/>
        </w:rPr>
        <w:t>2016).</w:t>
      </w:r>
      <w:r w:rsidR="00B8386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077CF">
        <w:rPr>
          <w:rFonts w:ascii="Times New Roman" w:hAnsi="Times New Roman" w:cs="Times New Roman"/>
          <w:sz w:val="24"/>
          <w:szCs w:val="24"/>
        </w:rPr>
        <w:t>Yet</w:t>
      </w:r>
      <w:r w:rsidR="00B83863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242623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B83863" w:rsidRPr="00732156">
        <w:rPr>
          <w:rFonts w:ascii="Times New Roman" w:hAnsi="Times New Roman" w:cs="Times New Roman"/>
          <w:sz w:val="24"/>
          <w:szCs w:val="24"/>
        </w:rPr>
        <w:t xml:space="preserve">primary differences between </w:t>
      </w:r>
      <w:r w:rsidR="00242623" w:rsidRPr="00732156">
        <w:rPr>
          <w:rFonts w:ascii="Times New Roman" w:hAnsi="Times New Roman" w:cs="Times New Roman"/>
          <w:sz w:val="24"/>
          <w:szCs w:val="24"/>
        </w:rPr>
        <w:t>the EKC</w:t>
      </w:r>
      <w:r w:rsidR="00B83863" w:rsidRPr="00732156">
        <w:rPr>
          <w:rFonts w:ascii="Times New Roman" w:hAnsi="Times New Roman" w:cs="Times New Roman"/>
          <w:sz w:val="24"/>
          <w:szCs w:val="24"/>
        </w:rPr>
        <w:t xml:space="preserve"> and our research are the dependent variables (the level of energy intensity instead of pollution in EKC) and </w:t>
      </w:r>
      <w:r w:rsidR="00195082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B83863" w:rsidRPr="00732156">
        <w:rPr>
          <w:rFonts w:ascii="Times New Roman" w:hAnsi="Times New Roman" w:cs="Times New Roman"/>
          <w:sz w:val="24"/>
          <w:szCs w:val="24"/>
        </w:rPr>
        <w:t>key independent variables (</w:t>
      </w:r>
      <w:r w:rsidR="00195082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B83863" w:rsidRPr="00732156">
        <w:rPr>
          <w:rFonts w:ascii="Times New Roman" w:hAnsi="Times New Roman" w:cs="Times New Roman"/>
          <w:sz w:val="24"/>
          <w:szCs w:val="24"/>
        </w:rPr>
        <w:t xml:space="preserve">presence of carbon pricing policies instead of economic development). </w:t>
      </w:r>
    </w:p>
    <w:p w14:paraId="0216E9BD" w14:textId="70C1F91B" w:rsidR="00792720" w:rsidRPr="00732156" w:rsidRDefault="000B17C5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>Decoupling can be measured as emission intensity</w:t>
      </w:r>
      <w:r w:rsidR="00204041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Pr="00732156">
        <w:rPr>
          <w:rFonts w:ascii="Times New Roman" w:hAnsi="Times New Roman" w:cs="Times New Roman"/>
          <w:sz w:val="24"/>
          <w:szCs w:val="24"/>
        </w:rPr>
        <w:t xml:space="preserve">which is the </w:t>
      </w:r>
      <w:r w:rsidR="00FD6FA8" w:rsidRPr="00732156">
        <w:rPr>
          <w:rFonts w:ascii="Times New Roman" w:hAnsi="Times New Roman" w:cs="Times New Roman"/>
          <w:sz w:val="24"/>
          <w:szCs w:val="24"/>
        </w:rPr>
        <w:t xml:space="preserve">volume </w:t>
      </w:r>
      <w:r w:rsidRPr="00732156">
        <w:rPr>
          <w:rFonts w:ascii="Times New Roman" w:hAnsi="Times New Roman" w:cs="Times New Roman"/>
          <w:sz w:val="24"/>
          <w:szCs w:val="24"/>
        </w:rPr>
        <w:t>of GHG emission</w:t>
      </w:r>
      <w:r w:rsidR="00FD6FA8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divided by </w:t>
      </w:r>
      <w:r w:rsidR="00FD6FA8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GDP of a given country in a given year. </w:t>
      </w:r>
      <w:r w:rsidR="00FD6FA8" w:rsidRPr="00732156">
        <w:rPr>
          <w:rFonts w:ascii="Times New Roman" w:hAnsi="Times New Roman" w:cs="Times New Roman"/>
          <w:sz w:val="24"/>
          <w:szCs w:val="24"/>
        </w:rPr>
        <w:t xml:space="preserve">Consider </w:t>
      </w:r>
      <w:r w:rsidRPr="00732156">
        <w:rPr>
          <w:rFonts w:ascii="Times New Roman" w:hAnsi="Times New Roman" w:cs="Times New Roman"/>
          <w:sz w:val="24"/>
          <w:szCs w:val="24"/>
        </w:rPr>
        <w:t xml:space="preserve">an example of countries A and B for two periods, t and t+1, as shown in Table 1. For both </w:t>
      </w:r>
      <w:r w:rsidR="00FE2A4F" w:rsidRPr="00732156">
        <w:rPr>
          <w:rFonts w:ascii="Times New Roman" w:hAnsi="Times New Roman" w:cs="Times New Roman"/>
          <w:sz w:val="24"/>
          <w:szCs w:val="24"/>
        </w:rPr>
        <w:t xml:space="preserve">A(t) and B(t), let GDP be </w:t>
      </w:r>
      <w:r w:rsidR="00FD6FA8" w:rsidRPr="00732156">
        <w:rPr>
          <w:rFonts w:ascii="Times New Roman" w:hAnsi="Times New Roman" w:cs="Times New Roman"/>
          <w:sz w:val="24"/>
          <w:szCs w:val="24"/>
        </w:rPr>
        <w:t>US</w:t>
      </w:r>
      <w:r w:rsidR="00FE2A4F" w:rsidRPr="00732156">
        <w:rPr>
          <w:rFonts w:ascii="Times New Roman" w:hAnsi="Times New Roman" w:cs="Times New Roman"/>
          <w:sz w:val="24"/>
          <w:szCs w:val="24"/>
        </w:rPr>
        <w:t>$</w:t>
      </w:r>
      <w:r w:rsidR="00FD6FA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FE2A4F" w:rsidRPr="00732156">
        <w:rPr>
          <w:rFonts w:ascii="Times New Roman" w:hAnsi="Times New Roman" w:cs="Times New Roman"/>
          <w:sz w:val="24"/>
          <w:szCs w:val="24"/>
        </w:rPr>
        <w:t>1,000 and GHG be 100</w:t>
      </w:r>
      <w:r w:rsidR="00FD6FA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FE2A4F" w:rsidRPr="00732156">
        <w:rPr>
          <w:rFonts w:ascii="Times New Roman" w:hAnsi="Times New Roman" w:cs="Times New Roman"/>
          <w:sz w:val="24"/>
          <w:szCs w:val="24"/>
        </w:rPr>
        <w:t>kgCO</w:t>
      </w:r>
      <w:r w:rsidR="00FE2A4F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E2A4F" w:rsidRPr="00732156">
        <w:rPr>
          <w:rFonts w:ascii="Times New Roman" w:hAnsi="Times New Roman" w:cs="Times New Roman"/>
          <w:sz w:val="24"/>
          <w:szCs w:val="24"/>
        </w:rPr>
        <w:t xml:space="preserve">eq. At t+1, </w:t>
      </w:r>
      <w:r w:rsidR="001E485E" w:rsidRPr="00732156">
        <w:rPr>
          <w:rFonts w:ascii="Times New Roman" w:hAnsi="Times New Roman" w:cs="Times New Roman"/>
          <w:sz w:val="24"/>
          <w:szCs w:val="24"/>
        </w:rPr>
        <w:t xml:space="preserve">country A’s GDP increases by </w:t>
      </w:r>
      <w:r w:rsidR="00DC40AE" w:rsidRPr="00732156">
        <w:rPr>
          <w:rFonts w:ascii="Times New Roman" w:hAnsi="Times New Roman" w:cs="Times New Roman"/>
          <w:sz w:val="24"/>
          <w:szCs w:val="24"/>
        </w:rPr>
        <w:t>US</w:t>
      </w:r>
      <w:r w:rsidR="001E485E" w:rsidRPr="00732156">
        <w:rPr>
          <w:rFonts w:ascii="Times New Roman" w:hAnsi="Times New Roman" w:cs="Times New Roman"/>
          <w:sz w:val="24"/>
          <w:szCs w:val="24"/>
        </w:rPr>
        <w:t>$</w:t>
      </w:r>
      <w:r w:rsidR="00DC40A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E485E" w:rsidRPr="00732156">
        <w:rPr>
          <w:rFonts w:ascii="Times New Roman" w:hAnsi="Times New Roman" w:cs="Times New Roman"/>
          <w:sz w:val="24"/>
          <w:szCs w:val="24"/>
        </w:rPr>
        <w:t>1 and its GHG decreases by 50</w:t>
      </w:r>
      <w:r w:rsidR="00DC40A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E485E" w:rsidRPr="00732156">
        <w:rPr>
          <w:rFonts w:ascii="Times New Roman" w:hAnsi="Times New Roman" w:cs="Times New Roman"/>
          <w:sz w:val="24"/>
          <w:szCs w:val="24"/>
        </w:rPr>
        <w:t>kgCO</w:t>
      </w:r>
      <w:r w:rsidR="001E485E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485E" w:rsidRPr="00732156">
        <w:rPr>
          <w:rFonts w:ascii="Times New Roman" w:hAnsi="Times New Roman" w:cs="Times New Roman"/>
          <w:sz w:val="24"/>
          <w:szCs w:val="24"/>
        </w:rPr>
        <w:t>eq. This is a</w:t>
      </w:r>
      <w:r w:rsidR="00941DBA" w:rsidRPr="00732156">
        <w:rPr>
          <w:rFonts w:ascii="Times New Roman" w:hAnsi="Times New Roman" w:cs="Times New Roman"/>
          <w:sz w:val="24"/>
          <w:szCs w:val="24"/>
        </w:rPr>
        <w:t>n</w:t>
      </w:r>
      <w:r w:rsidR="001E485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41DBA" w:rsidRPr="00732156">
        <w:rPr>
          <w:rFonts w:ascii="Times New Roman" w:hAnsi="Times New Roman" w:cs="Times New Roman"/>
          <w:sz w:val="24"/>
          <w:szCs w:val="24"/>
        </w:rPr>
        <w:t xml:space="preserve">example </w:t>
      </w:r>
      <w:r w:rsidR="001E485E" w:rsidRPr="00732156">
        <w:rPr>
          <w:rFonts w:ascii="Times New Roman" w:hAnsi="Times New Roman" w:cs="Times New Roman"/>
          <w:sz w:val="24"/>
          <w:szCs w:val="24"/>
        </w:rPr>
        <w:t>of decoupling</w:t>
      </w:r>
      <w:r w:rsidR="00284295" w:rsidRPr="00732156">
        <w:rPr>
          <w:rFonts w:ascii="Times New Roman" w:hAnsi="Times New Roman" w:cs="Times New Roman"/>
          <w:sz w:val="24"/>
          <w:szCs w:val="24"/>
        </w:rPr>
        <w:t>,</w:t>
      </w:r>
      <w:r w:rsidR="001E485E" w:rsidRPr="00732156">
        <w:rPr>
          <w:rFonts w:ascii="Times New Roman" w:hAnsi="Times New Roman" w:cs="Times New Roman"/>
          <w:sz w:val="24"/>
          <w:szCs w:val="24"/>
        </w:rPr>
        <w:t xml:space="preserve"> and we now see that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its emission intensity has fallen, even </w:t>
      </w:r>
      <w:r w:rsidR="00284295" w:rsidRPr="00732156">
        <w:rPr>
          <w:rFonts w:ascii="Times New Roman" w:hAnsi="Times New Roman" w:cs="Times New Roman"/>
          <w:sz w:val="24"/>
          <w:szCs w:val="24"/>
        </w:rPr>
        <w:t>though there has been an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increase in </w:t>
      </w:r>
      <w:r w:rsidR="002236C8" w:rsidRPr="00732156">
        <w:rPr>
          <w:rFonts w:ascii="Times New Roman" w:hAnsi="Times New Roman" w:cs="Times New Roman"/>
          <w:sz w:val="24"/>
          <w:szCs w:val="24"/>
        </w:rPr>
        <w:t xml:space="preserve">its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GDP. For country B, let </w:t>
      </w:r>
      <w:r w:rsidR="002236C8" w:rsidRPr="00732156">
        <w:rPr>
          <w:rFonts w:ascii="Times New Roman" w:hAnsi="Times New Roman" w:cs="Times New Roman"/>
          <w:sz w:val="24"/>
          <w:szCs w:val="24"/>
        </w:rPr>
        <w:t xml:space="preserve">its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GDP increase by </w:t>
      </w:r>
      <w:r w:rsidR="002236C8" w:rsidRPr="00732156">
        <w:rPr>
          <w:rFonts w:ascii="Times New Roman" w:hAnsi="Times New Roman" w:cs="Times New Roman"/>
          <w:sz w:val="24"/>
          <w:szCs w:val="24"/>
        </w:rPr>
        <w:t>US</w:t>
      </w:r>
      <w:r w:rsidR="00B83863" w:rsidRPr="00732156">
        <w:rPr>
          <w:rFonts w:ascii="Times New Roman" w:hAnsi="Times New Roman" w:cs="Times New Roman"/>
          <w:sz w:val="24"/>
          <w:szCs w:val="24"/>
        </w:rPr>
        <w:t>$</w:t>
      </w:r>
      <w:r w:rsidR="002236C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500 and its GHG </w:t>
      </w:r>
      <w:r w:rsidR="002236C8" w:rsidRPr="00732156">
        <w:rPr>
          <w:rFonts w:ascii="Times New Roman" w:hAnsi="Times New Roman" w:cs="Times New Roman"/>
          <w:sz w:val="24"/>
          <w:szCs w:val="24"/>
        </w:rPr>
        <w:t xml:space="preserve">increase </w:t>
      </w:r>
      <w:r w:rsidR="005D5B56" w:rsidRPr="00732156">
        <w:rPr>
          <w:rFonts w:ascii="Times New Roman" w:hAnsi="Times New Roman" w:cs="Times New Roman"/>
          <w:sz w:val="24"/>
          <w:szCs w:val="24"/>
        </w:rPr>
        <w:t>by 2</w:t>
      </w:r>
      <w:r w:rsidR="002236C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D5B56" w:rsidRPr="00732156">
        <w:rPr>
          <w:rFonts w:ascii="Times New Roman" w:hAnsi="Times New Roman" w:cs="Times New Roman"/>
          <w:sz w:val="24"/>
          <w:szCs w:val="24"/>
        </w:rPr>
        <w:t>kgCO</w:t>
      </w:r>
      <w:r w:rsidR="005D5B56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eq. Although both </w:t>
      </w:r>
      <w:r w:rsidR="007D3DF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GDP and </w:t>
      </w:r>
      <w:r w:rsidR="007D3DF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GHG have increased, GHG increased at a </w:t>
      </w:r>
      <w:r w:rsidR="00267405" w:rsidRPr="00732156">
        <w:rPr>
          <w:rFonts w:ascii="Times New Roman" w:hAnsi="Times New Roman" w:cs="Times New Roman"/>
          <w:sz w:val="24"/>
          <w:szCs w:val="24"/>
        </w:rPr>
        <w:t>s</w:t>
      </w:r>
      <w:r w:rsidR="005D5B56" w:rsidRPr="00732156">
        <w:rPr>
          <w:rFonts w:ascii="Times New Roman" w:hAnsi="Times New Roman" w:cs="Times New Roman"/>
          <w:sz w:val="24"/>
          <w:szCs w:val="24"/>
        </w:rPr>
        <w:t>lower rate than GDP</w:t>
      </w:r>
      <w:r w:rsidR="007D3DF1" w:rsidRPr="00732156">
        <w:rPr>
          <w:rFonts w:ascii="Times New Roman" w:hAnsi="Times New Roman" w:cs="Times New Roman"/>
          <w:sz w:val="24"/>
          <w:szCs w:val="24"/>
        </w:rPr>
        <w:t>.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D3DF1" w:rsidRPr="00732156">
        <w:rPr>
          <w:rFonts w:ascii="Times New Roman" w:hAnsi="Times New Roman" w:cs="Times New Roman"/>
          <w:sz w:val="24"/>
          <w:szCs w:val="24"/>
        </w:rPr>
        <w:t>Therefore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7D3DF1" w:rsidRPr="00732156">
        <w:rPr>
          <w:rFonts w:ascii="Times New Roman" w:hAnsi="Times New Roman" w:cs="Times New Roman"/>
          <w:sz w:val="24"/>
          <w:szCs w:val="24"/>
        </w:rPr>
        <w:t xml:space="preserve">this </w:t>
      </w:r>
      <w:r w:rsidR="005D5B56" w:rsidRPr="00732156">
        <w:rPr>
          <w:rFonts w:ascii="Times New Roman" w:hAnsi="Times New Roman" w:cs="Times New Roman"/>
          <w:sz w:val="24"/>
          <w:szCs w:val="24"/>
        </w:rPr>
        <w:t>is also a case of decoupling</w:t>
      </w:r>
      <w:r w:rsidR="007D3DF1" w:rsidRPr="00732156">
        <w:rPr>
          <w:rFonts w:ascii="Times New Roman" w:hAnsi="Times New Roman" w:cs="Times New Roman"/>
          <w:sz w:val="24"/>
          <w:szCs w:val="24"/>
        </w:rPr>
        <w:t>,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and we see </w:t>
      </w:r>
      <w:r w:rsidR="00EB2410" w:rsidRPr="00732156">
        <w:rPr>
          <w:rFonts w:ascii="Times New Roman" w:hAnsi="Times New Roman" w:cs="Times New Roman"/>
          <w:sz w:val="24"/>
          <w:szCs w:val="24"/>
        </w:rPr>
        <w:t xml:space="preserve">that the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emission intensity has also fallen. Scholars have often labeled the case of country A as “strong decoupling” and the latter case as “weak decoupling” (Andreoni </w:t>
      </w:r>
      <w:r w:rsidR="001627BA" w:rsidRPr="00732156">
        <w:rPr>
          <w:rFonts w:ascii="Times New Roman" w:hAnsi="Times New Roman" w:cs="Times New Roman"/>
          <w:sz w:val="24"/>
          <w:szCs w:val="24"/>
        </w:rPr>
        <w:t>and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Galmarini 2012). However, as for country C, GHG increased at a higher rate than GDP: </w:t>
      </w:r>
      <w:r w:rsidR="0018673D" w:rsidRPr="00732156">
        <w:rPr>
          <w:rFonts w:ascii="Times New Roman" w:hAnsi="Times New Roman" w:cs="Times New Roman"/>
          <w:sz w:val="24"/>
          <w:szCs w:val="24"/>
        </w:rPr>
        <w:t>this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is not the case </w:t>
      </w:r>
      <w:r w:rsidR="0018673D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="005D5B56" w:rsidRPr="00732156">
        <w:rPr>
          <w:rFonts w:ascii="Times New Roman" w:hAnsi="Times New Roman" w:cs="Times New Roman"/>
          <w:sz w:val="24"/>
          <w:szCs w:val="24"/>
        </w:rPr>
        <w:t>decoupling</w:t>
      </w:r>
      <w:r w:rsidR="0018673D" w:rsidRPr="00732156">
        <w:rPr>
          <w:rFonts w:ascii="Times New Roman" w:hAnsi="Times New Roman" w:cs="Times New Roman"/>
          <w:sz w:val="24"/>
          <w:szCs w:val="24"/>
        </w:rPr>
        <w:t>,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 and </w:t>
      </w:r>
      <w:r w:rsidR="0018673D" w:rsidRPr="00732156">
        <w:rPr>
          <w:rFonts w:ascii="Times New Roman" w:hAnsi="Times New Roman" w:cs="Times New Roman"/>
          <w:sz w:val="24"/>
          <w:szCs w:val="24"/>
        </w:rPr>
        <w:t xml:space="preserve">its </w:t>
      </w:r>
      <w:r w:rsidR="005C2BBC" w:rsidRPr="00732156">
        <w:rPr>
          <w:rFonts w:ascii="Times New Roman" w:hAnsi="Times New Roman" w:cs="Times New Roman"/>
          <w:sz w:val="24"/>
          <w:szCs w:val="24"/>
        </w:rPr>
        <w:t xml:space="preserve">emission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intensity has risen. In short, a lower emission intensity can indicate </w:t>
      </w:r>
      <w:r w:rsidR="003C44E0" w:rsidRPr="00732156">
        <w:rPr>
          <w:rFonts w:ascii="Times New Roman" w:hAnsi="Times New Roman" w:cs="Times New Roman"/>
          <w:sz w:val="24"/>
          <w:szCs w:val="24"/>
        </w:rPr>
        <w:t xml:space="preserve">either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3C44E0" w:rsidRPr="00732156">
        <w:rPr>
          <w:rFonts w:ascii="Times New Roman" w:hAnsi="Times New Roman" w:cs="Times New Roman"/>
          <w:sz w:val="24"/>
          <w:szCs w:val="24"/>
        </w:rPr>
        <w:t xml:space="preserve">strong or weak </w:t>
      </w:r>
      <w:r w:rsidR="005D5B56" w:rsidRPr="00732156">
        <w:rPr>
          <w:rFonts w:ascii="Times New Roman" w:hAnsi="Times New Roman" w:cs="Times New Roman"/>
          <w:sz w:val="24"/>
          <w:szCs w:val="24"/>
        </w:rPr>
        <w:t xml:space="preserve">decoupling trend in a country. </w:t>
      </w:r>
    </w:p>
    <w:p w14:paraId="5772822C" w14:textId="77777777" w:rsidR="00A135BE" w:rsidRPr="00732156" w:rsidRDefault="00A135BE" w:rsidP="00A135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8AD8C" w14:textId="77777777" w:rsidR="00A135BE" w:rsidRPr="00732156" w:rsidRDefault="00A135BE" w:rsidP="007967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>Table 1. Decoupling and emission intensity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6"/>
        <w:gridCol w:w="888"/>
        <w:gridCol w:w="1268"/>
        <w:gridCol w:w="1660"/>
        <w:gridCol w:w="1117"/>
        <w:gridCol w:w="1326"/>
        <w:gridCol w:w="1700"/>
      </w:tblGrid>
      <w:tr w:rsidR="007E56D2" w:rsidRPr="00732156" w14:paraId="6162EB5D" w14:textId="77777777" w:rsidTr="00F62CF0">
        <w:trPr>
          <w:trHeight w:val="579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26AC5B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Country / Time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EC007" w14:textId="5C7E7AA4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GDP (</w:t>
            </w:r>
            <w:r w:rsidR="00D077CF">
              <w:rPr>
                <w:rFonts w:ascii="Times New Roman" w:hAnsi="Times New Roman" w:cs="Times New Roman"/>
                <w:b/>
              </w:rPr>
              <w:t>US$</w:t>
            </w:r>
            <w:r w:rsidRPr="007321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4609A363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GHG (kgCO</w:t>
            </w:r>
            <w:r w:rsidRPr="0073215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Pr="00732156">
              <w:rPr>
                <w:rFonts w:ascii="Times New Roman" w:hAnsi="Times New Roman" w:cs="Times New Roman"/>
                <w:b/>
              </w:rPr>
              <w:t>eq)</w:t>
            </w:r>
          </w:p>
        </w:tc>
        <w:tc>
          <w:tcPr>
            <w:tcW w:w="1660" w:type="dxa"/>
            <w:tcBorders>
              <w:right w:val="single" w:sz="4" w:space="0" w:color="FFFFFF" w:themeColor="background1"/>
            </w:tcBorders>
            <w:vAlign w:val="center"/>
          </w:tcPr>
          <w:p w14:paraId="7ACDD471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ΔGDP</w:t>
            </w:r>
          </w:p>
        </w:tc>
        <w:tc>
          <w:tcPr>
            <w:tcW w:w="1117" w:type="dxa"/>
            <w:tcBorders>
              <w:left w:val="single" w:sz="4" w:space="0" w:color="FFFFFF" w:themeColor="background1"/>
            </w:tcBorders>
            <w:vAlign w:val="center"/>
          </w:tcPr>
          <w:p w14:paraId="455BFE31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ΔGHG</w:t>
            </w:r>
          </w:p>
        </w:tc>
        <w:tc>
          <w:tcPr>
            <w:tcW w:w="1326" w:type="dxa"/>
            <w:vAlign w:val="center"/>
          </w:tcPr>
          <w:p w14:paraId="7533837A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Emission intensity</w:t>
            </w:r>
          </w:p>
        </w:tc>
        <w:tc>
          <w:tcPr>
            <w:tcW w:w="1700" w:type="dxa"/>
            <w:tcBorders>
              <w:right w:val="single" w:sz="4" w:space="0" w:color="FFFFFF" w:themeColor="background1"/>
            </w:tcBorders>
            <w:vAlign w:val="center"/>
          </w:tcPr>
          <w:p w14:paraId="5447CBD1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Decoupling</w:t>
            </w:r>
          </w:p>
        </w:tc>
      </w:tr>
      <w:tr w:rsidR="007E56D2" w:rsidRPr="00732156" w14:paraId="6319BA41" w14:textId="77777777" w:rsidTr="00F62CF0">
        <w:trPr>
          <w:trHeight w:val="320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EC31D8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A(t)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40E3E4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4E73730D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E118FAA" w14:textId="7C9CB3E5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0.0</w:t>
            </w:r>
            <w:r w:rsidR="007E56D2" w:rsidRPr="00732156">
              <w:rPr>
                <w:rFonts w:ascii="Times New Roman" w:hAnsi="Times New Roman" w:cs="Times New Roman"/>
              </w:rPr>
              <w:t>0</w:t>
            </w:r>
            <w:r w:rsidRPr="007321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7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42C153B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26" w:type="dxa"/>
            <w:vAlign w:val="center"/>
          </w:tcPr>
          <w:p w14:paraId="0DB536A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0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7BFD52DE" w14:textId="693E9461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Strong</w:t>
            </w:r>
          </w:p>
          <w:p w14:paraId="4060F813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(ΔGDP &gt; 0 &gt; ΔGHG)</w:t>
            </w:r>
          </w:p>
        </w:tc>
      </w:tr>
      <w:tr w:rsidR="007E56D2" w:rsidRPr="00732156" w14:paraId="5AF25D4D" w14:textId="77777777" w:rsidTr="00F62CF0">
        <w:trPr>
          <w:trHeight w:val="566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0B4925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A(t+1)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02021B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1,001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1917B4C8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6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3D7F1082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tcBorders>
              <w:left w:val="single" w:sz="4" w:space="0" w:color="FFFFFF" w:themeColor="background1"/>
            </w:tcBorders>
            <w:vAlign w:val="center"/>
          </w:tcPr>
          <w:p w14:paraId="4EA9196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14:paraId="483F630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70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42C6AD47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56D2" w:rsidRPr="00732156" w14:paraId="35C2E817" w14:textId="77777777" w:rsidTr="00F62CF0">
        <w:trPr>
          <w:trHeight w:val="320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F22B04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B(t)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68FC5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15A55ED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43316CD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17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36FE63A8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326" w:type="dxa"/>
            <w:vAlign w:val="center"/>
          </w:tcPr>
          <w:p w14:paraId="5841EBD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0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740064D9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Weak</w:t>
            </w:r>
          </w:p>
          <w:p w14:paraId="4E29D45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(ΔGDP &gt; ΔGHG &gt; 0)</w:t>
            </w:r>
          </w:p>
        </w:tc>
      </w:tr>
      <w:tr w:rsidR="007E56D2" w:rsidRPr="00732156" w14:paraId="560607C5" w14:textId="77777777" w:rsidTr="00F62CF0">
        <w:trPr>
          <w:trHeight w:val="566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4E8AD5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B(t+1)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30C401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22DC1DCD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66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7170073A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tcBorders>
              <w:left w:val="single" w:sz="4" w:space="0" w:color="FFFFFF" w:themeColor="background1"/>
            </w:tcBorders>
            <w:vAlign w:val="center"/>
          </w:tcPr>
          <w:p w14:paraId="71D24064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14:paraId="29FD3424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170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71C60DA3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56D2" w:rsidRPr="00732156" w14:paraId="4EBDFEFB" w14:textId="77777777" w:rsidTr="00F62CF0">
        <w:trPr>
          <w:trHeight w:val="320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4FD9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C(t)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614858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1821448B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F4F439D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7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2EE1C3F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6" w:type="dxa"/>
            <w:vAlign w:val="center"/>
          </w:tcPr>
          <w:p w14:paraId="2626A93A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00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436E42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Coupling</w:t>
            </w:r>
          </w:p>
          <w:p w14:paraId="38DB439F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(ΔGDP &lt; ΔGHG)</w:t>
            </w:r>
          </w:p>
        </w:tc>
      </w:tr>
      <w:tr w:rsidR="007E56D2" w:rsidRPr="00732156" w14:paraId="63C04670" w14:textId="77777777" w:rsidTr="00F62CF0">
        <w:trPr>
          <w:trHeight w:val="566"/>
        </w:trPr>
        <w:tc>
          <w:tcPr>
            <w:tcW w:w="1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EBC35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C(t+1)</w:t>
            </w:r>
          </w:p>
        </w:tc>
        <w:tc>
          <w:tcPr>
            <w:tcW w:w="8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B0D5FE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268" w:type="dxa"/>
            <w:tcBorders>
              <w:left w:val="single" w:sz="4" w:space="0" w:color="FFFFFF" w:themeColor="background1"/>
            </w:tcBorders>
            <w:vAlign w:val="center"/>
          </w:tcPr>
          <w:p w14:paraId="5F0E2366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6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3C70EDC0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tcBorders>
              <w:left w:val="single" w:sz="4" w:space="0" w:color="FFFFFF" w:themeColor="background1"/>
            </w:tcBorders>
            <w:vAlign w:val="center"/>
          </w:tcPr>
          <w:p w14:paraId="535DB597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14:paraId="4D0C4FB3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700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6C5A6ACE" w14:textId="77777777" w:rsidR="00A135BE" w:rsidRPr="00732156" w:rsidRDefault="00A135BE" w:rsidP="00E130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5B1C37" w14:textId="77777777" w:rsidR="00A135BE" w:rsidRPr="00732156" w:rsidRDefault="00A135BE" w:rsidP="00A135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DEEC0" w14:textId="371F4B5B" w:rsidR="008D3F02" w:rsidRPr="00732156" w:rsidRDefault="008D3F02">
      <w:pPr>
        <w:spacing w:line="360" w:lineRule="auto"/>
        <w:ind w:firstLineChars="50" w:firstLine="108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>Measuring decoupling with emission intensity allows us to compare the degree of decoupling across countries. Figure 2 shows the variation</w:t>
      </w:r>
      <w:r w:rsidR="008A7AD2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in emission intensity across </w:t>
      </w:r>
      <w:r w:rsidR="008A7AD2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countries of our sample group </w:t>
      </w:r>
      <w:r w:rsidR="00F054DC">
        <w:rPr>
          <w:rFonts w:ascii="Times New Roman" w:hAnsi="Times New Roman" w:cs="Times New Roman"/>
          <w:sz w:val="24"/>
          <w:szCs w:val="24"/>
        </w:rPr>
        <w:t>that</w:t>
      </w:r>
      <w:r w:rsidR="00F054DC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 xml:space="preserve">we leverage in this research. Why </w:t>
      </w:r>
      <w:r w:rsidR="005F6091" w:rsidRPr="00732156">
        <w:rPr>
          <w:rFonts w:ascii="Times New Roman" w:hAnsi="Times New Roman" w:cs="Times New Roman"/>
          <w:sz w:val="24"/>
          <w:szCs w:val="24"/>
        </w:rPr>
        <w:t>does</w:t>
      </w:r>
      <w:r w:rsidRPr="00732156">
        <w:rPr>
          <w:rFonts w:ascii="Times New Roman" w:hAnsi="Times New Roman" w:cs="Times New Roman"/>
          <w:sz w:val="24"/>
          <w:szCs w:val="24"/>
        </w:rPr>
        <w:t xml:space="preserve"> emission intensity 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vary </w:t>
      </w:r>
      <w:r w:rsidRPr="00732156">
        <w:rPr>
          <w:rFonts w:ascii="Times New Roman" w:hAnsi="Times New Roman" w:cs="Times New Roman"/>
          <w:sz w:val="24"/>
          <w:szCs w:val="24"/>
        </w:rPr>
        <w:t>across European countries</w:t>
      </w:r>
      <w:r w:rsidR="008A7AD2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which have stood out as the most active country-group </w:t>
      </w:r>
      <w:r w:rsidR="008A7AD2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732156">
        <w:rPr>
          <w:rFonts w:ascii="Times New Roman" w:hAnsi="Times New Roman" w:cs="Times New Roman"/>
          <w:sz w:val="24"/>
          <w:szCs w:val="24"/>
        </w:rPr>
        <w:t xml:space="preserve">mitigation actions? </w:t>
      </w:r>
    </w:p>
    <w:p w14:paraId="1232C7BF" w14:textId="77777777" w:rsidR="008D3F02" w:rsidRPr="00732156" w:rsidRDefault="008D3F02" w:rsidP="00DA7CFB">
      <w:pPr>
        <w:spacing w:line="360" w:lineRule="auto"/>
        <w:jc w:val="left"/>
        <w:rPr>
          <w:rFonts w:ascii="Times New Roman" w:hAnsi="Times New Roman" w:cs="Times New Roman"/>
          <w:bCs/>
        </w:rPr>
      </w:pPr>
    </w:p>
    <w:p w14:paraId="7A564050" w14:textId="469AB4EE" w:rsidR="008D3F02" w:rsidRPr="00732156" w:rsidRDefault="008D3F02" w:rsidP="008D3F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Figure 2.</w:t>
      </w:r>
      <w:r w:rsidRPr="00732156">
        <w:rPr>
          <w:rFonts w:ascii="Times New Roman" w:hAnsi="Times New Roman" w:cs="Times New Roman"/>
          <w:sz w:val="24"/>
          <w:szCs w:val="24"/>
        </w:rPr>
        <w:t xml:space="preserve"> Emission </w:t>
      </w:r>
      <w:r w:rsidR="008A7AD2" w:rsidRPr="00732156">
        <w:rPr>
          <w:rFonts w:ascii="Times New Roman" w:hAnsi="Times New Roman" w:cs="Times New Roman"/>
          <w:sz w:val="24"/>
          <w:szCs w:val="24"/>
        </w:rPr>
        <w:t xml:space="preserve">intensities </w:t>
      </w:r>
      <w:r w:rsidRPr="00732156">
        <w:rPr>
          <w:rFonts w:ascii="Times New Roman" w:hAnsi="Times New Roman" w:cs="Times New Roman"/>
          <w:sz w:val="24"/>
          <w:szCs w:val="24"/>
        </w:rPr>
        <w:t>of 30 European countries, 1996-2014</w:t>
      </w:r>
    </w:p>
    <w:p w14:paraId="0E5DD341" w14:textId="4CAFE05E" w:rsidR="00B97547" w:rsidRPr="00732156" w:rsidRDefault="000D7620" w:rsidP="00412CAA">
      <w:pPr>
        <w:pStyle w:val="aa"/>
        <w:spacing w:line="384" w:lineRule="auto"/>
        <w:ind w:firstLine="0"/>
        <w:jc w:val="center"/>
      </w:pPr>
      <w:r w:rsidRPr="00732156">
        <w:rPr>
          <w:noProof/>
          <w:lang w:eastAsia="en-GB"/>
        </w:rPr>
        <w:drawing>
          <wp:inline distT="0" distB="0" distL="0" distR="0" wp14:anchorId="3C052713" wp14:editId="73447170">
            <wp:extent cx="5731510" cy="3277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C08" w:rsidRPr="00732156">
        <w:rPr>
          <w:rFonts w:ascii="Times New Roman" w:hAnsi="Times New Roman" w:cs="Times New Roman"/>
          <w:spacing w:val="0"/>
          <w:sz w:val="24"/>
          <w:szCs w:val="24"/>
        </w:rPr>
        <w:t xml:space="preserve"> </w:t>
      </w:r>
    </w:p>
    <w:p w14:paraId="6A596650" w14:textId="0AAE92B5" w:rsidR="00A135BE" w:rsidRPr="00732156" w:rsidRDefault="00A135BE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4CBF8" w14:textId="3CFAB225" w:rsidR="00F57D39" w:rsidRPr="00732156" w:rsidRDefault="00F57D39" w:rsidP="002F0E6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32156">
        <w:rPr>
          <w:rFonts w:ascii="Times New Roman" w:hAnsi="Times New Roman" w:cs="Times New Roman"/>
          <w:i/>
          <w:iCs/>
          <w:sz w:val="24"/>
          <w:szCs w:val="24"/>
        </w:rPr>
        <w:t>Carbon Pricing</w:t>
      </w:r>
      <w:r w:rsidR="00996BA7" w:rsidRPr="00732156">
        <w:rPr>
          <w:rFonts w:ascii="Times New Roman" w:hAnsi="Times New Roman" w:cs="Times New Roman"/>
          <w:i/>
          <w:iCs/>
          <w:sz w:val="24"/>
          <w:szCs w:val="24"/>
        </w:rPr>
        <w:t xml:space="preserve"> and Decoupling</w:t>
      </w:r>
    </w:p>
    <w:p w14:paraId="2FCEA530" w14:textId="798E7357" w:rsidR="000B7A3D" w:rsidRPr="00732156" w:rsidRDefault="00EA4822" w:rsidP="002D3D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Now we </w:t>
      </w:r>
      <w:r w:rsidR="00996BA7" w:rsidRPr="00732156">
        <w:rPr>
          <w:rFonts w:ascii="Times New Roman" w:hAnsi="Times New Roman" w:cs="Times New Roman"/>
          <w:sz w:val="24"/>
          <w:szCs w:val="24"/>
        </w:rPr>
        <w:t xml:space="preserve">introduce </w:t>
      </w:r>
      <w:r w:rsidR="00874387" w:rsidRPr="00732156">
        <w:rPr>
          <w:rFonts w:ascii="Times New Roman" w:hAnsi="Times New Roman" w:cs="Times New Roman"/>
          <w:sz w:val="24"/>
          <w:szCs w:val="24"/>
        </w:rPr>
        <w:t xml:space="preserve">the possible link between decoupling and carbon pricing, 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which is </w:t>
      </w:r>
      <w:r w:rsidR="00874387" w:rsidRPr="00732156">
        <w:rPr>
          <w:rFonts w:ascii="Times New Roman" w:hAnsi="Times New Roman" w:cs="Times New Roman"/>
          <w:sz w:val="24"/>
          <w:szCs w:val="24"/>
        </w:rPr>
        <w:t>often understood as one type of policy innovation for GHG mitigation</w:t>
      </w:r>
      <w:r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874387" w:rsidRPr="00732156">
        <w:rPr>
          <w:rFonts w:ascii="Times New Roman" w:hAnsi="Times New Roman" w:cs="Times New Roman"/>
          <w:sz w:val="24"/>
          <w:szCs w:val="24"/>
        </w:rPr>
        <w:t xml:space="preserve">As explained earlier, carbon pricing is 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designed </w:t>
      </w:r>
      <w:r w:rsidR="00874387" w:rsidRPr="00732156">
        <w:rPr>
          <w:rFonts w:ascii="Times New Roman" w:hAnsi="Times New Roman" w:cs="Times New Roman"/>
          <w:sz w:val="24"/>
          <w:szCs w:val="24"/>
        </w:rPr>
        <w:t>to make GHG emissions costly by, as its name implies, “pricing carbon.”</w:t>
      </w:r>
      <w:r w:rsidR="00D64E7B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0B7A3D" w:rsidRPr="00732156">
        <w:rPr>
          <w:rFonts w:ascii="Times New Roman" w:hAnsi="Times New Roman" w:cs="Times New Roman"/>
          <w:sz w:val="24"/>
          <w:szCs w:val="24"/>
        </w:rPr>
        <w:t>Generally, carbon pricing policies regulate specific GHGs</w:t>
      </w:r>
      <w:r w:rsidR="005F6091" w:rsidRPr="00732156">
        <w:rPr>
          <w:rFonts w:ascii="Times New Roman" w:hAnsi="Times New Roman" w:cs="Times New Roman"/>
          <w:sz w:val="24"/>
          <w:szCs w:val="24"/>
        </w:rPr>
        <w:t>,</w:t>
      </w:r>
      <w:r w:rsidR="000B7A3D" w:rsidRPr="00732156">
        <w:rPr>
          <w:rFonts w:ascii="Times New Roman" w:hAnsi="Times New Roman" w:cs="Times New Roman"/>
          <w:sz w:val="24"/>
          <w:szCs w:val="24"/>
        </w:rPr>
        <w:t xml:space="preserve"> and covert the degree 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to which they contribute </w:t>
      </w:r>
      <w:r w:rsidR="000B7A3D" w:rsidRPr="00732156">
        <w:rPr>
          <w:rFonts w:ascii="Times New Roman" w:hAnsi="Times New Roman" w:cs="Times New Roman"/>
          <w:sz w:val="24"/>
          <w:szCs w:val="24"/>
        </w:rPr>
        <w:t xml:space="preserve">to global warming into </w:t>
      </w:r>
      <w:r w:rsidR="00AB5F90" w:rsidRPr="00732156">
        <w:rPr>
          <w:rFonts w:ascii="Times New Roman" w:hAnsi="Times New Roman" w:cs="Times New Roman"/>
          <w:sz w:val="24"/>
          <w:szCs w:val="24"/>
        </w:rPr>
        <w:t>CO</w:t>
      </w:r>
      <w:r w:rsidR="00AB5F90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90" w:rsidRPr="00732156">
        <w:rPr>
          <w:rFonts w:ascii="Times New Roman" w:hAnsi="Times New Roman" w:cs="Times New Roman"/>
          <w:sz w:val="24"/>
          <w:szCs w:val="24"/>
        </w:rPr>
        <w:t>eq, or carbon dioxide equivalent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; </w:t>
      </w:r>
      <w:r w:rsidR="00AB5F90" w:rsidRPr="00732156">
        <w:rPr>
          <w:rFonts w:ascii="Times New Roman" w:hAnsi="Times New Roman" w:cs="Times New Roman"/>
          <w:sz w:val="24"/>
          <w:szCs w:val="24"/>
        </w:rPr>
        <w:t>CO</w:t>
      </w:r>
      <w:r w:rsidR="00AB5F90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9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F6091" w:rsidRPr="00732156">
        <w:rPr>
          <w:rFonts w:ascii="Times New Roman" w:hAnsi="Times New Roman" w:cs="Times New Roman"/>
          <w:sz w:val="24"/>
          <w:szCs w:val="24"/>
        </w:rPr>
        <w:t xml:space="preserve">is used </w:t>
      </w:r>
      <w:r w:rsidR="00AB5F90" w:rsidRPr="00732156">
        <w:rPr>
          <w:rFonts w:ascii="Times New Roman" w:hAnsi="Times New Roman" w:cs="Times New Roman"/>
          <w:sz w:val="24"/>
          <w:szCs w:val="24"/>
        </w:rPr>
        <w:t xml:space="preserve">as a reference point. </w:t>
      </w:r>
      <w:r w:rsidR="005D0F52" w:rsidRPr="00732156">
        <w:rPr>
          <w:rFonts w:ascii="Times New Roman" w:hAnsi="Times New Roman" w:cs="Times New Roman"/>
          <w:sz w:val="24"/>
          <w:szCs w:val="24"/>
        </w:rPr>
        <w:t>Then, they impose a certain amount of cost per unit of CO</w:t>
      </w:r>
      <w:r w:rsidR="005D0F52" w:rsidRPr="007321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0F52" w:rsidRPr="00732156">
        <w:rPr>
          <w:rFonts w:ascii="Times New Roman" w:hAnsi="Times New Roman" w:cs="Times New Roman"/>
          <w:sz w:val="24"/>
          <w:szCs w:val="24"/>
        </w:rPr>
        <w:t>eq</w:t>
      </w:r>
      <w:r w:rsidR="006A074D" w:rsidRPr="00732156">
        <w:rPr>
          <w:rFonts w:ascii="Times New Roman" w:hAnsi="Times New Roman" w:cs="Times New Roman"/>
          <w:sz w:val="24"/>
          <w:szCs w:val="24"/>
        </w:rPr>
        <w:t>,</w:t>
      </w:r>
      <w:r w:rsidR="005D0F52" w:rsidRPr="00732156">
        <w:rPr>
          <w:rFonts w:ascii="Times New Roman" w:hAnsi="Times New Roman" w:cs="Times New Roman"/>
          <w:sz w:val="24"/>
          <w:szCs w:val="24"/>
        </w:rPr>
        <w:t xml:space="preserve"> and internalize pollution as </w:t>
      </w:r>
      <w:r w:rsidR="006A074D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5D0F52" w:rsidRPr="00732156">
        <w:rPr>
          <w:rFonts w:ascii="Times New Roman" w:hAnsi="Times New Roman" w:cs="Times New Roman"/>
          <w:sz w:val="24"/>
          <w:szCs w:val="24"/>
        </w:rPr>
        <w:t xml:space="preserve">negative </w:t>
      </w:r>
      <w:r w:rsidR="006A074D" w:rsidRPr="00732156">
        <w:rPr>
          <w:rFonts w:ascii="Times New Roman" w:hAnsi="Times New Roman" w:cs="Times New Roman"/>
          <w:sz w:val="24"/>
          <w:szCs w:val="24"/>
        </w:rPr>
        <w:t xml:space="preserve">externality </w:t>
      </w:r>
      <w:r w:rsidR="005D0F52" w:rsidRPr="00732156">
        <w:rPr>
          <w:rFonts w:ascii="Times New Roman" w:hAnsi="Times New Roman" w:cs="Times New Roman"/>
          <w:sz w:val="24"/>
          <w:szCs w:val="24"/>
        </w:rPr>
        <w:t>to producers’ or consumers’ economic activities. Economists have pointed to the advantage of this market-based mechanism for environmental regulation</w:t>
      </w:r>
      <w:r w:rsidR="006A074D" w:rsidRPr="00732156">
        <w:rPr>
          <w:rFonts w:ascii="Times New Roman" w:hAnsi="Times New Roman" w:cs="Times New Roman"/>
          <w:sz w:val="24"/>
          <w:szCs w:val="24"/>
        </w:rPr>
        <w:t>,</w:t>
      </w:r>
      <w:r w:rsidR="005D0F52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D0F52"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compared to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5D0F52" w:rsidRPr="00732156">
        <w:rPr>
          <w:rFonts w:ascii="Times New Roman" w:hAnsi="Times New Roman" w:cs="Times New Roman"/>
          <w:sz w:val="24"/>
          <w:szCs w:val="24"/>
        </w:rPr>
        <w:t>command-and-control mechanism</w:t>
      </w:r>
      <w:r w:rsidR="006A074D" w:rsidRPr="00732156">
        <w:rPr>
          <w:rFonts w:ascii="Times New Roman" w:hAnsi="Times New Roman" w:cs="Times New Roman"/>
          <w:sz w:val="24"/>
          <w:szCs w:val="24"/>
        </w:rPr>
        <w:t>,</w:t>
      </w:r>
      <w:r w:rsidR="005D0F52" w:rsidRPr="00732156">
        <w:rPr>
          <w:rFonts w:ascii="Times New Roman" w:hAnsi="Times New Roman" w:cs="Times New Roman"/>
          <w:sz w:val="24"/>
          <w:szCs w:val="24"/>
        </w:rPr>
        <w:t xml:space="preserve"> in terms of minimizing the aggregate cost of environmental protection (Stavin</w:t>
      </w:r>
      <w:r w:rsidR="007D4E6A" w:rsidRPr="00732156">
        <w:rPr>
          <w:rFonts w:ascii="Times New Roman" w:hAnsi="Times New Roman" w:cs="Times New Roman"/>
          <w:sz w:val="24"/>
          <w:szCs w:val="24"/>
        </w:rPr>
        <w:t>s</w:t>
      </w:r>
      <w:r w:rsidR="005D0F52" w:rsidRPr="00732156">
        <w:rPr>
          <w:rFonts w:ascii="Times New Roman" w:hAnsi="Times New Roman" w:cs="Times New Roman"/>
          <w:sz w:val="24"/>
          <w:szCs w:val="24"/>
        </w:rPr>
        <w:t xml:space="preserve"> 1998).</w:t>
      </w:r>
    </w:p>
    <w:p w14:paraId="6A61E1F3" w14:textId="14C6334B" w:rsidR="00DB270C" w:rsidRPr="00732156" w:rsidRDefault="005D0F52" w:rsidP="002D3D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6A074D" w:rsidRPr="00732156">
        <w:rPr>
          <w:rFonts w:ascii="Times New Roman" w:hAnsi="Times New Roman" w:cs="Times New Roman"/>
          <w:sz w:val="24"/>
          <w:szCs w:val="24"/>
        </w:rPr>
        <w:t>E</w:t>
      </w:r>
      <w:r w:rsidR="00D64E7B" w:rsidRPr="00732156">
        <w:rPr>
          <w:rFonts w:ascii="Times New Roman" w:hAnsi="Times New Roman" w:cs="Times New Roman"/>
          <w:sz w:val="24"/>
          <w:szCs w:val="24"/>
        </w:rPr>
        <w:t>mission trading and carbon tax are commonly used policy instruments</w:t>
      </w:r>
      <w:r w:rsidR="006A074D" w:rsidRPr="00732156">
        <w:rPr>
          <w:rFonts w:ascii="Times New Roman" w:hAnsi="Times New Roman" w:cs="Times New Roman"/>
          <w:sz w:val="24"/>
          <w:szCs w:val="24"/>
        </w:rPr>
        <w:t xml:space="preserve"> to employ carbon pricing</w:t>
      </w:r>
      <w:r w:rsidR="00EA4822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F926A7" w:rsidRPr="00732156">
        <w:rPr>
          <w:rFonts w:ascii="Times New Roman" w:hAnsi="Times New Roman" w:cs="Times New Roman"/>
          <w:sz w:val="24"/>
          <w:szCs w:val="24"/>
        </w:rPr>
        <w:t xml:space="preserve">though </w:t>
      </w:r>
      <w:r w:rsidR="00EA4822" w:rsidRPr="00732156">
        <w:rPr>
          <w:rFonts w:ascii="Times New Roman" w:hAnsi="Times New Roman" w:cs="Times New Roman"/>
          <w:sz w:val="24"/>
          <w:szCs w:val="24"/>
        </w:rPr>
        <w:t>they employ different ways to impose such a fee</w:t>
      </w:r>
      <w:r w:rsidR="00D64E7B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begin"/>
      </w:r>
      <w:r w:rsidR="00D64E7B" w:rsidRPr="0073215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&lt;EndNote&gt;&lt;Cite&gt;&lt;Author&gt;Tietenberg&lt;/Author&gt;&lt;Year&gt;2013&lt;/Year&gt;&lt;RecNum&gt;3&lt;/RecNum&gt;&lt;DisplayText&gt;(Tietenberg, 2013)&lt;/DisplayText&gt;&lt;record&gt;&lt;rec-number&gt;3&lt;/rec-number&gt;&lt;foreign-keys&gt;&lt;key app="EN" db-id="zpptsp2wfex222ete5t5s09xaex5td9ep9vt" timestamp="1563436725"&gt;3&lt;/key&gt;&lt;/foreign-keys&gt;&lt;ref-type name="Journal Article"&gt;17&lt;/ref-type&gt;&lt;contributors&gt;&lt;authors&gt;&lt;author&gt;Tietenberg, Tom H.&lt;/author&gt;&lt;/authors&gt;&lt;/contributors&gt;&lt;titles&gt;&lt;title&gt;Reflections—Carbon Pricing in Practice*&lt;/title&gt;&lt;secondary-title&gt;Review of Environmental Economics and Policy&lt;/secondary-title&gt;&lt;/titles&gt;&lt;periodical&gt;&lt;full-title&gt;Review of Environmental Economics and Policy&lt;/full-title&gt;&lt;/periodical&gt;&lt;pages&gt;313-329&lt;/pages&gt;&lt;volume&gt;7&lt;/volume&gt;&lt;number&gt;2&lt;/number&gt;&lt;dates&gt;&lt;year&gt;2013&lt;/year&gt;&lt;/dates&gt;&lt;isbn&gt;1750-6816&lt;/isbn&gt;&lt;urls&gt;&lt;related-urls&gt;&lt;url&gt;https://doi.org/10.1093/reep/ret008&lt;/url&gt;&lt;/related-urls&gt;&lt;/urls&gt;&lt;electronic-resource-num&gt;10.1093/reep/ret008&lt;/electronic-resource-num&gt;&lt;access-date&gt;7/18/2019&lt;/access-date&gt;&lt;/record&gt;&lt;/Cite&gt;&lt;/EndNote&gt;</w:instrTex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separate"/>
      </w:r>
      <w:r w:rsidR="00D64E7B" w:rsidRPr="00732156">
        <w:rPr>
          <w:rFonts w:ascii="Times New Roman" w:hAnsi="Times New Roman" w:cs="Times New Roman"/>
          <w:sz w:val="24"/>
          <w:szCs w:val="24"/>
        </w:rPr>
        <w:t>(Tietenberg 2013)</w: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D64E7B" w:rsidRPr="00732156">
        <w:rPr>
          <w:rFonts w:ascii="Times New Roman" w:hAnsi="Times New Roman" w:cs="Times New Roman"/>
          <w:sz w:val="24"/>
          <w:szCs w:val="24"/>
        </w:rPr>
        <w:t xml:space="preserve">. Emission trading </w:t>
      </w:r>
      <w:r w:rsidR="00B16F6A" w:rsidRPr="00732156">
        <w:rPr>
          <w:rFonts w:ascii="Times New Roman" w:hAnsi="Times New Roman" w:cs="Times New Roman"/>
          <w:sz w:val="24"/>
          <w:szCs w:val="24"/>
        </w:rPr>
        <w:t xml:space="preserve">creates a “political market” </w: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begin"/>
      </w:r>
      <w:r w:rsidR="00B16F6A" w:rsidRPr="0073215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&lt;EndNote&gt;&lt;Cite&gt;&lt;Author&gt;Keohane&lt;/Author&gt;&lt;Year&gt;1999&lt;/Year&gt;&lt;RecNum&gt;5&lt;/RecNum&gt;&lt;DisplayText&gt;(Keohane, Stavins, &amp;amp; Revesz, 1999)&lt;/DisplayText&gt;&lt;record&gt;&lt;rec-number&gt;5&lt;/rec-number&gt;&lt;foreign-keys&gt;&lt;key app="EN" db-id="zpptsp2wfex222ete5t5s09xaex5td9ep9vt" timestamp="1563437438"&gt;5&lt;/key&gt;&lt;/foreign-keys&gt;&lt;ref-type name="Book Section"&gt;5&lt;/ref-type&gt;&lt;contributors&gt;&lt;authors&gt;&lt;author&gt;Keohane, Nathaniel&lt;/author&gt;&lt;author&gt;Robert N. Stavins&lt;/author&gt;&lt;author&gt;Revesz, R. L.&lt;/author&gt;&lt;/authors&gt;&lt;secondary-authors&gt;&lt;author&gt;Panagariya, Arvind&lt;/author&gt;&lt;author&gt;Paul, R. Portney&lt;/author&gt;&lt;author&gt;Schwab, Robert M.&lt;/author&gt;&lt;/secondary-authors&gt;&lt;/contributors&gt;&lt;titles&gt;&lt;title&gt;The Positive Political Economy of Instrument Choice in Environmental Policy&lt;/title&gt;&lt;secondary-title&gt;Environmental and Public Economics: Essays in Honor of Wallace E. Oates&lt;/secondary-title&gt;&lt;/titles&gt;&lt;pages&gt;89–125&lt;/pages&gt;&lt;keywords&gt;&lt;keyword&gt;Economic&lt;/keyword&gt;&lt;keyword&gt;Economic nationalism&lt;/keyword&gt;&lt;keyword&gt;Economic planning&lt;/keyword&gt;&lt;keyword&gt;Economic policy.&lt;/keyword&gt;&lt;keyword&gt;Economics Environmental aspects&lt;/keyword&gt;&lt;keyword&gt;Environmental economics.&lt;/keyword&gt;&lt;keyword&gt;Environmental quality Economic aspects&lt;/keyword&gt;&lt;keyword&gt;National planning&lt;/keyword&gt;&lt;keyword&gt;Oates&lt;/keyword&gt;&lt;keyword&gt;PLANNING&lt;/keyword&gt;&lt;keyword&gt;State planning&lt;/keyword&gt;&lt;keyword&gt;Wallace E.&lt;/keyword&gt;&lt;/keywords&gt;&lt;dates&gt;&lt;year&gt;1999&lt;/year&gt;&lt;/dates&gt;&lt;pub-location&gt;London&lt;/pub-location&gt;&lt;publisher&gt;Edward Elgar, Ltd.&lt;/publisher&gt;&lt;isbn&gt;978-1-85898-611-1&lt;/isbn&gt;&lt;urls&gt;&lt;/urls&gt;&lt;language&gt;eng&lt;/language&gt;&lt;/record&gt;&lt;/Cite&gt;&lt;/EndNote&gt;</w:instrTex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separate"/>
      </w:r>
      <w:r w:rsidR="00B16F6A" w:rsidRPr="00732156">
        <w:rPr>
          <w:rFonts w:ascii="Times New Roman" w:hAnsi="Times New Roman" w:cs="Times New Roman"/>
          <w:sz w:val="24"/>
          <w:szCs w:val="24"/>
        </w:rPr>
        <w:t>(Keohane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="00B16F6A" w:rsidRPr="00732156">
        <w:rPr>
          <w:rFonts w:ascii="Times New Roman" w:hAnsi="Times New Roman" w:cs="Times New Roman"/>
          <w:sz w:val="24"/>
          <w:szCs w:val="24"/>
        </w:rPr>
        <w:t xml:space="preserve"> 1999)</w:t>
      </w:r>
      <w:r w:rsidR="00842B84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B16F6A" w:rsidRPr="00732156">
        <w:rPr>
          <w:rFonts w:ascii="Times New Roman" w:hAnsi="Times New Roman" w:cs="Times New Roman"/>
          <w:sz w:val="24"/>
          <w:szCs w:val="24"/>
        </w:rPr>
        <w:t xml:space="preserve"> where liable firms (polluters) can trade emission allowance units with each other at market price</w:t>
      </w:r>
      <w:r w:rsidR="00955411" w:rsidRPr="00732156">
        <w:rPr>
          <w:rFonts w:ascii="Times New Roman" w:hAnsi="Times New Roman" w:cs="Times New Roman"/>
          <w:sz w:val="24"/>
          <w:szCs w:val="24"/>
        </w:rPr>
        <w:t xml:space="preserve"> (Lederer 2017)</w:t>
      </w:r>
      <w:r w:rsidR="00B16F6A" w:rsidRPr="00732156">
        <w:rPr>
          <w:rFonts w:ascii="Times New Roman" w:hAnsi="Times New Roman" w:cs="Times New Roman"/>
          <w:sz w:val="24"/>
          <w:szCs w:val="24"/>
        </w:rPr>
        <w:t xml:space="preserve">. While </w:t>
      </w:r>
      <w:r w:rsidR="002D3D8A" w:rsidRPr="00732156">
        <w:rPr>
          <w:rFonts w:ascii="Times New Roman" w:hAnsi="Times New Roman" w:cs="Times New Roman"/>
          <w:sz w:val="24"/>
          <w:szCs w:val="24"/>
        </w:rPr>
        <w:t xml:space="preserve">the market determines a carbon price in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2D3D8A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F926A7" w:rsidRPr="00732156">
        <w:rPr>
          <w:rFonts w:ascii="Times New Roman" w:hAnsi="Times New Roman" w:cs="Times New Roman"/>
          <w:sz w:val="24"/>
          <w:szCs w:val="24"/>
        </w:rPr>
        <w:t xml:space="preserve">for a carbon tax, </w:t>
      </w:r>
      <w:r w:rsidR="002D3D8A" w:rsidRPr="00732156">
        <w:rPr>
          <w:rFonts w:ascii="Times New Roman" w:hAnsi="Times New Roman" w:cs="Times New Roman"/>
          <w:sz w:val="24"/>
          <w:szCs w:val="24"/>
        </w:rPr>
        <w:t>the government d</w:t>
      </w:r>
      <w:r w:rsidR="00F926A7" w:rsidRPr="00732156">
        <w:rPr>
          <w:rFonts w:ascii="Times New Roman" w:hAnsi="Times New Roman" w:cs="Times New Roman"/>
          <w:sz w:val="24"/>
          <w:szCs w:val="24"/>
        </w:rPr>
        <w:t>etermines the price</w:t>
      </w:r>
      <w:r w:rsidR="002D3D8A" w:rsidRPr="00732156">
        <w:rPr>
          <w:rFonts w:ascii="Times New Roman" w:hAnsi="Times New Roman" w:cs="Times New Roman"/>
          <w:sz w:val="24"/>
          <w:szCs w:val="24"/>
        </w:rPr>
        <w:t>.</w:t>
      </w:r>
      <w:r w:rsidR="00B16F6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46041" w:rsidRPr="00732156">
        <w:rPr>
          <w:rFonts w:ascii="Times New Roman" w:hAnsi="Times New Roman" w:cs="Times New Roman"/>
          <w:sz w:val="24"/>
          <w:szCs w:val="24"/>
        </w:rPr>
        <w:t>The government imposes an additional tax on goods and services</w:t>
      </w:r>
      <w:r w:rsidR="00B14138" w:rsidRPr="00732156">
        <w:rPr>
          <w:rFonts w:ascii="Times New Roman" w:hAnsi="Times New Roman" w:cs="Times New Roman"/>
          <w:sz w:val="24"/>
          <w:szCs w:val="24"/>
        </w:rPr>
        <w:t>,</w:t>
      </w:r>
      <w:r w:rsidR="00E46041" w:rsidRPr="00732156">
        <w:rPr>
          <w:rFonts w:ascii="Times New Roman" w:hAnsi="Times New Roman" w:cs="Times New Roman"/>
          <w:sz w:val="24"/>
          <w:szCs w:val="24"/>
        </w:rPr>
        <w:t xml:space="preserve"> based on how much GHG</w:t>
      </w:r>
      <w:r w:rsidR="006166C6" w:rsidRPr="00732156">
        <w:rPr>
          <w:rFonts w:ascii="Times New Roman" w:hAnsi="Times New Roman" w:cs="Times New Roman"/>
          <w:sz w:val="24"/>
          <w:szCs w:val="24"/>
        </w:rPr>
        <w:t xml:space="preserve"> they emit in their production process</w:t>
      </w:r>
      <w:r w:rsidR="00B14138" w:rsidRPr="00732156">
        <w:rPr>
          <w:rFonts w:ascii="Times New Roman" w:hAnsi="Times New Roman" w:cs="Times New Roman"/>
          <w:sz w:val="24"/>
          <w:szCs w:val="24"/>
        </w:rPr>
        <w:t>,</w:t>
      </w:r>
      <w:r w:rsidR="002D3D8A" w:rsidRPr="00732156">
        <w:rPr>
          <w:rFonts w:ascii="Times New Roman" w:hAnsi="Times New Roman" w:cs="Times New Roman"/>
          <w:sz w:val="24"/>
          <w:szCs w:val="24"/>
        </w:rPr>
        <w:t xml:space="preserve"> or </w:t>
      </w:r>
      <w:r w:rsidR="00B14138" w:rsidRPr="00732156">
        <w:rPr>
          <w:rFonts w:ascii="Times New Roman" w:hAnsi="Times New Roman" w:cs="Times New Roman"/>
          <w:sz w:val="24"/>
          <w:szCs w:val="24"/>
        </w:rPr>
        <w:t xml:space="preserve">how much </w:t>
      </w:r>
      <w:r w:rsidR="002D3D8A" w:rsidRPr="00732156">
        <w:rPr>
          <w:rFonts w:ascii="Times New Roman" w:hAnsi="Times New Roman" w:cs="Times New Roman"/>
          <w:sz w:val="24"/>
          <w:szCs w:val="24"/>
        </w:rPr>
        <w:t>they possess in their contents.</w:t>
      </w:r>
    </w:p>
    <w:p w14:paraId="5F0B66BC" w14:textId="425E2A6F" w:rsidR="000330E1" w:rsidRPr="00732156" w:rsidRDefault="000330E1" w:rsidP="002D3D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457DC" w:rsidRPr="00732156">
        <w:rPr>
          <w:rFonts w:ascii="Times New Roman" w:hAnsi="Times New Roman" w:cs="Times New Roman"/>
          <w:sz w:val="24"/>
          <w:szCs w:val="24"/>
        </w:rPr>
        <w:t xml:space="preserve">We suggest </w:t>
      </w:r>
      <w:r w:rsidR="00B14138" w:rsidRPr="00732156">
        <w:rPr>
          <w:rFonts w:ascii="Times New Roman" w:hAnsi="Times New Roman" w:cs="Times New Roman"/>
          <w:sz w:val="24"/>
          <w:szCs w:val="24"/>
        </w:rPr>
        <w:t xml:space="preserve">that </w:t>
      </w:r>
      <w:r w:rsidR="00A1352C" w:rsidRPr="00732156">
        <w:rPr>
          <w:rFonts w:ascii="Times New Roman" w:hAnsi="Times New Roman" w:cs="Times New Roman"/>
          <w:sz w:val="24"/>
          <w:szCs w:val="24"/>
        </w:rPr>
        <w:t>there are two key factors</w:t>
      </w:r>
      <w:r w:rsidR="007B760D" w:rsidRPr="00732156">
        <w:rPr>
          <w:rFonts w:ascii="Times New Roman" w:hAnsi="Times New Roman" w:cs="Times New Roman"/>
          <w:sz w:val="24"/>
          <w:szCs w:val="24"/>
        </w:rPr>
        <w:t xml:space="preserve"> for any mitigation policy to bring about decoupling trend</w:t>
      </w:r>
      <w:r w:rsidR="00A1352C" w:rsidRPr="00732156">
        <w:rPr>
          <w:rFonts w:ascii="Times New Roman" w:hAnsi="Times New Roman" w:cs="Times New Roman"/>
          <w:sz w:val="24"/>
          <w:szCs w:val="24"/>
        </w:rPr>
        <w:t>:</w:t>
      </w:r>
      <w:r w:rsidR="007B760D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A1352C" w:rsidRPr="00732156">
        <w:rPr>
          <w:rFonts w:ascii="Times New Roman" w:hAnsi="Times New Roman" w:cs="Times New Roman"/>
          <w:sz w:val="24"/>
          <w:szCs w:val="24"/>
        </w:rPr>
        <w:t xml:space="preserve">(1) </w:t>
      </w:r>
      <w:r w:rsidR="007B760D" w:rsidRPr="00732156">
        <w:rPr>
          <w:rFonts w:ascii="Times New Roman" w:hAnsi="Times New Roman" w:cs="Times New Roman"/>
          <w:sz w:val="24"/>
          <w:szCs w:val="24"/>
        </w:rPr>
        <w:t>whether it can make GHG mitigation “less costly</w:t>
      </w:r>
      <w:r w:rsidR="00A1352C" w:rsidRPr="00732156">
        <w:rPr>
          <w:rFonts w:ascii="Times New Roman" w:hAnsi="Times New Roman" w:cs="Times New Roman"/>
          <w:sz w:val="24"/>
          <w:szCs w:val="24"/>
        </w:rPr>
        <w:t>,</w:t>
      </w:r>
      <w:r w:rsidR="007B760D" w:rsidRPr="00732156">
        <w:rPr>
          <w:rFonts w:ascii="Times New Roman" w:hAnsi="Times New Roman" w:cs="Times New Roman"/>
          <w:sz w:val="24"/>
          <w:szCs w:val="24"/>
        </w:rPr>
        <w:t>”</w:t>
      </w:r>
      <w:r w:rsidR="00A1352C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D4E6A" w:rsidRPr="00732156">
        <w:rPr>
          <w:rFonts w:ascii="Times New Roman" w:hAnsi="Times New Roman" w:cs="Times New Roman"/>
          <w:sz w:val="24"/>
          <w:szCs w:val="24"/>
        </w:rPr>
        <w:t xml:space="preserve">and </w:t>
      </w:r>
      <w:r w:rsidR="00A1352C" w:rsidRPr="00732156">
        <w:rPr>
          <w:rFonts w:ascii="Times New Roman" w:hAnsi="Times New Roman" w:cs="Times New Roman"/>
          <w:sz w:val="24"/>
          <w:szCs w:val="24"/>
        </w:rPr>
        <w:t xml:space="preserve">(2) whether it can </w:t>
      </w:r>
      <w:r w:rsidR="000429AE" w:rsidRPr="00732156">
        <w:rPr>
          <w:rFonts w:ascii="Times New Roman" w:hAnsi="Times New Roman" w:cs="Times New Roman"/>
          <w:sz w:val="24"/>
          <w:szCs w:val="24"/>
        </w:rPr>
        <w:t>ensure substanti</w:t>
      </w:r>
      <w:r w:rsidR="0079381B" w:rsidRPr="00732156">
        <w:rPr>
          <w:rFonts w:ascii="Times New Roman" w:hAnsi="Times New Roman" w:cs="Times New Roman"/>
          <w:sz w:val="24"/>
          <w:szCs w:val="24"/>
        </w:rPr>
        <w:t>al</w:t>
      </w:r>
      <w:r w:rsidR="000429AE" w:rsidRPr="00732156">
        <w:rPr>
          <w:rFonts w:ascii="Times New Roman" w:hAnsi="Times New Roman" w:cs="Times New Roman"/>
          <w:sz w:val="24"/>
          <w:szCs w:val="24"/>
        </w:rPr>
        <w:t xml:space="preserve"> GHG mitigation.</w:t>
      </w:r>
      <w:r w:rsidR="00153F0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First, </w:t>
      </w:r>
      <w:r w:rsidR="00F64433" w:rsidRPr="00732156">
        <w:rPr>
          <w:rFonts w:ascii="Times New Roman" w:hAnsi="Times New Roman" w:cs="Times New Roman"/>
          <w:sz w:val="24"/>
          <w:szCs w:val="24"/>
        </w:rPr>
        <w:t>the cost of GHG mitigation</w:t>
      </w:r>
      <w:r w:rsidR="0025675B" w:rsidRPr="00732156">
        <w:rPr>
          <w:rFonts w:ascii="Times New Roman" w:hAnsi="Times New Roman" w:cs="Times New Roman"/>
          <w:sz w:val="24"/>
          <w:szCs w:val="24"/>
        </w:rPr>
        <w:t xml:space="preserve"> (</w:t>
      </w:r>
      <w:r w:rsidR="00E04244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25675B" w:rsidRPr="00732156">
        <w:rPr>
          <w:rFonts w:ascii="Times New Roman" w:hAnsi="Times New Roman" w:cs="Times New Roman"/>
          <w:sz w:val="24"/>
          <w:szCs w:val="24"/>
        </w:rPr>
        <w:t>abatement cost)</w:t>
      </w:r>
      <w:r w:rsidR="00F64433" w:rsidRPr="00732156">
        <w:rPr>
          <w:rFonts w:ascii="Times New Roman" w:hAnsi="Times New Roman" w:cs="Times New Roman"/>
          <w:sz w:val="24"/>
          <w:szCs w:val="24"/>
        </w:rPr>
        <w:t xml:space="preserve"> can be considered as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an 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opportunity cost for economic growth. </w:t>
      </w:r>
      <w:r w:rsidR="00843644" w:rsidRPr="0073215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B14138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843644" w:rsidRPr="00732156">
        <w:rPr>
          <w:rFonts w:ascii="Times New Roman" w:hAnsi="Times New Roman" w:cs="Times New Roman"/>
          <w:sz w:val="24"/>
          <w:szCs w:val="24"/>
        </w:rPr>
        <w:t xml:space="preserve">lowered </w:t>
      </w:r>
      <w:r w:rsidR="0025675B" w:rsidRPr="00732156">
        <w:rPr>
          <w:rFonts w:ascii="Times New Roman" w:hAnsi="Times New Roman" w:cs="Times New Roman"/>
          <w:sz w:val="24"/>
          <w:szCs w:val="24"/>
        </w:rPr>
        <w:t>abatement cost</w:t>
      </w:r>
      <w:r w:rsidR="00843644" w:rsidRPr="00732156">
        <w:rPr>
          <w:rFonts w:ascii="Times New Roman" w:hAnsi="Times New Roman" w:cs="Times New Roman"/>
          <w:sz w:val="24"/>
          <w:szCs w:val="24"/>
        </w:rPr>
        <w:t xml:space="preserve"> can lead to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843644" w:rsidRPr="00732156">
        <w:rPr>
          <w:rFonts w:ascii="Times New Roman" w:hAnsi="Times New Roman" w:cs="Times New Roman"/>
          <w:sz w:val="24"/>
          <w:szCs w:val="24"/>
        </w:rPr>
        <w:t>better allocation of resources for economic growth. W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hen reducing the same amount of GHG emissions, it is likely </w:t>
      </w:r>
      <w:r w:rsidR="00F6539D" w:rsidRPr="00732156">
        <w:rPr>
          <w:rFonts w:ascii="Times New Roman" w:hAnsi="Times New Roman" w:cs="Times New Roman"/>
          <w:sz w:val="24"/>
          <w:szCs w:val="24"/>
        </w:rPr>
        <w:t>for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 a country </w:t>
      </w:r>
      <w:r w:rsidR="00F6539D" w:rsidRPr="00732156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F6539D" w:rsidRPr="00732156">
        <w:rPr>
          <w:rFonts w:ascii="Times New Roman" w:hAnsi="Times New Roman" w:cs="Times New Roman"/>
          <w:sz w:val="24"/>
          <w:szCs w:val="24"/>
        </w:rPr>
        <w:t xml:space="preserve">decoupling trend </w:t>
      </w:r>
      <w:r w:rsidR="00E40D2C" w:rsidRPr="00732156">
        <w:rPr>
          <w:rFonts w:ascii="Times New Roman" w:hAnsi="Times New Roman" w:cs="Times New Roman"/>
          <w:sz w:val="24"/>
          <w:szCs w:val="24"/>
        </w:rPr>
        <w:t>wh</w:t>
      </w:r>
      <w:r w:rsidR="00F6539D" w:rsidRPr="00732156">
        <w:rPr>
          <w:rFonts w:ascii="Times New Roman" w:hAnsi="Times New Roman" w:cs="Times New Roman"/>
          <w:sz w:val="24"/>
          <w:szCs w:val="24"/>
        </w:rPr>
        <w:t>en it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 implements </w:t>
      </w:r>
      <w:r w:rsidR="00F6539D" w:rsidRPr="00732156">
        <w:rPr>
          <w:rFonts w:ascii="Times New Roman" w:hAnsi="Times New Roman" w:cs="Times New Roman"/>
          <w:sz w:val="24"/>
          <w:szCs w:val="24"/>
        </w:rPr>
        <w:t>a policy instrument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02AAB" w:rsidRPr="00732156">
        <w:rPr>
          <w:rFonts w:ascii="Times New Roman" w:hAnsi="Times New Roman" w:cs="Times New Roman"/>
          <w:sz w:val="24"/>
          <w:szCs w:val="24"/>
        </w:rPr>
        <w:t xml:space="preserve">that is 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more capable of </w:t>
      </w:r>
      <w:r w:rsidR="00F6539D" w:rsidRPr="00732156">
        <w:rPr>
          <w:rFonts w:ascii="Times New Roman" w:hAnsi="Times New Roman" w:cs="Times New Roman"/>
          <w:sz w:val="24"/>
          <w:szCs w:val="24"/>
        </w:rPr>
        <w:t>lowering</w:t>
      </w:r>
      <w:r w:rsidR="0025675B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02AAB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25675B" w:rsidRPr="00732156">
        <w:rPr>
          <w:rFonts w:ascii="Times New Roman" w:hAnsi="Times New Roman" w:cs="Times New Roman"/>
          <w:sz w:val="24"/>
          <w:szCs w:val="24"/>
        </w:rPr>
        <w:t>abatement</w:t>
      </w:r>
      <w:r w:rsidR="00F6539D" w:rsidRPr="00732156">
        <w:rPr>
          <w:rFonts w:ascii="Times New Roman" w:hAnsi="Times New Roman" w:cs="Times New Roman"/>
          <w:sz w:val="24"/>
          <w:szCs w:val="24"/>
        </w:rPr>
        <w:t xml:space="preserve"> cost</w:t>
      </w:r>
      <w:r w:rsidR="00E40D2C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62053B" w:rsidRPr="00732156">
        <w:rPr>
          <w:rFonts w:ascii="Times New Roman" w:hAnsi="Times New Roman" w:cs="Times New Roman"/>
          <w:sz w:val="24"/>
          <w:szCs w:val="24"/>
        </w:rPr>
        <w:t>Second,</w:t>
      </w:r>
      <w:r w:rsidR="00345A83" w:rsidRPr="00732156">
        <w:rPr>
          <w:rFonts w:ascii="Times New Roman" w:hAnsi="Times New Roman" w:cs="Times New Roman"/>
          <w:sz w:val="24"/>
          <w:szCs w:val="24"/>
        </w:rPr>
        <w:t xml:space="preserve"> a policy instrument that succeeds in </w:t>
      </w:r>
      <w:r w:rsidR="0025675B" w:rsidRPr="00732156">
        <w:rPr>
          <w:rFonts w:ascii="Times New Roman" w:hAnsi="Times New Roman" w:cs="Times New Roman"/>
          <w:sz w:val="24"/>
          <w:szCs w:val="24"/>
        </w:rPr>
        <w:t>reducing</w:t>
      </w:r>
      <w:r w:rsidR="00DF63A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5675B" w:rsidRPr="00732156">
        <w:rPr>
          <w:rFonts w:ascii="Times New Roman" w:hAnsi="Times New Roman" w:cs="Times New Roman"/>
          <w:sz w:val="24"/>
          <w:szCs w:val="24"/>
        </w:rPr>
        <w:t>abatement</w:t>
      </w:r>
      <w:r w:rsidR="00DF63AF" w:rsidRPr="00732156">
        <w:rPr>
          <w:rFonts w:ascii="Times New Roman" w:hAnsi="Times New Roman" w:cs="Times New Roman"/>
          <w:sz w:val="24"/>
          <w:szCs w:val="24"/>
        </w:rPr>
        <w:t xml:space="preserve"> cost</w:t>
      </w:r>
      <w:r w:rsidR="00702AAB" w:rsidRPr="00732156">
        <w:rPr>
          <w:rFonts w:ascii="Times New Roman" w:hAnsi="Times New Roman" w:cs="Times New Roman"/>
          <w:sz w:val="24"/>
          <w:szCs w:val="24"/>
        </w:rPr>
        <w:t>,</w:t>
      </w:r>
      <w:r w:rsidR="00DF63A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02AAB" w:rsidRPr="00732156">
        <w:rPr>
          <w:rFonts w:ascii="Times New Roman" w:hAnsi="Times New Roman" w:cs="Times New Roman"/>
          <w:sz w:val="24"/>
          <w:szCs w:val="24"/>
        </w:rPr>
        <w:t>without</w:t>
      </w:r>
      <w:r w:rsidR="00103AAE" w:rsidRPr="00732156">
        <w:rPr>
          <w:rFonts w:ascii="Times New Roman" w:hAnsi="Times New Roman" w:cs="Times New Roman"/>
          <w:sz w:val="24"/>
          <w:szCs w:val="24"/>
        </w:rPr>
        <w:t xml:space="preserve"> reducing the actual amount of GHG emission</w:t>
      </w:r>
      <w:r w:rsidR="00702AAB" w:rsidRPr="00732156">
        <w:rPr>
          <w:rFonts w:ascii="Times New Roman" w:hAnsi="Times New Roman" w:cs="Times New Roman"/>
          <w:sz w:val="24"/>
          <w:szCs w:val="24"/>
        </w:rPr>
        <w:t>,</w:t>
      </w:r>
      <w:r w:rsidR="00103AAE" w:rsidRPr="00732156">
        <w:rPr>
          <w:rFonts w:ascii="Times New Roman" w:hAnsi="Times New Roman" w:cs="Times New Roman"/>
          <w:sz w:val="24"/>
          <w:szCs w:val="24"/>
        </w:rPr>
        <w:t xml:space="preserve"> is partially contributing to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103AAE" w:rsidRPr="00732156">
        <w:rPr>
          <w:rFonts w:ascii="Times New Roman" w:hAnsi="Times New Roman" w:cs="Times New Roman"/>
          <w:sz w:val="24"/>
          <w:szCs w:val="24"/>
        </w:rPr>
        <w:t>decoupling trend</w:t>
      </w:r>
      <w:r w:rsidR="00F054DC">
        <w:rPr>
          <w:rFonts w:ascii="Times New Roman" w:hAnsi="Times New Roman" w:cs="Times New Roman"/>
          <w:sz w:val="24"/>
          <w:szCs w:val="24"/>
        </w:rPr>
        <w:t>—</w:t>
      </w:r>
      <w:r w:rsidR="00267405" w:rsidRPr="00732156">
        <w:rPr>
          <w:rFonts w:ascii="Times New Roman" w:hAnsi="Times New Roman" w:cs="Times New Roman"/>
          <w:sz w:val="24"/>
          <w:szCs w:val="24"/>
        </w:rPr>
        <w:t>in this case</w:t>
      </w:r>
      <w:r w:rsidR="00103AAE" w:rsidRPr="00732156">
        <w:rPr>
          <w:rFonts w:ascii="Times New Roman" w:hAnsi="Times New Roman" w:cs="Times New Roman"/>
          <w:sz w:val="24"/>
          <w:szCs w:val="24"/>
        </w:rPr>
        <w:t xml:space="preserve"> weak decoupling. Only when it succeeds in both aspects </w:t>
      </w:r>
      <w:r w:rsidR="00027248" w:rsidRPr="00732156">
        <w:rPr>
          <w:rFonts w:ascii="Times New Roman" w:hAnsi="Times New Roman" w:cs="Times New Roman"/>
          <w:sz w:val="24"/>
          <w:szCs w:val="24"/>
        </w:rPr>
        <w:t xml:space="preserve">can it be considered to have contributed to strong decoupling. </w:t>
      </w:r>
    </w:p>
    <w:p w14:paraId="7AD82C77" w14:textId="4C41E908" w:rsidR="00AD7DB3" w:rsidRPr="00732156" w:rsidRDefault="008B2338" w:rsidP="008B23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While both carbon tax and emission trading are carbon pricing policies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732156">
        <w:rPr>
          <w:rFonts w:ascii="Times New Roman" w:hAnsi="Times New Roman" w:cs="Times New Roman"/>
          <w:sz w:val="24"/>
          <w:szCs w:val="24"/>
        </w:rPr>
        <w:t>to curb GHG emission</w:t>
      </w:r>
      <w:r w:rsidR="00DB35E1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in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an</w:t>
      </w:r>
      <w:r w:rsidRPr="00732156">
        <w:rPr>
          <w:rFonts w:ascii="Times New Roman" w:hAnsi="Times New Roman" w:cs="Times New Roman"/>
          <w:sz w:val="24"/>
          <w:szCs w:val="24"/>
        </w:rPr>
        <w:t xml:space="preserve"> efficient way,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two policies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employ </w:t>
      </w:r>
      <w:r w:rsidRPr="00732156">
        <w:rPr>
          <w:rFonts w:ascii="Times New Roman" w:hAnsi="Times New Roman" w:cs="Times New Roman"/>
          <w:sz w:val="24"/>
          <w:szCs w:val="24"/>
        </w:rPr>
        <w:t>different mechanism</w:t>
      </w:r>
      <w:r w:rsidR="00DB35E1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to attain the goal</w:t>
      </w:r>
      <w:r w:rsidR="00F71A84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and so </w:t>
      </w:r>
      <w:r w:rsidR="00F71A84" w:rsidRPr="00732156">
        <w:rPr>
          <w:rFonts w:ascii="Times New Roman" w:hAnsi="Times New Roman" w:cs="Times New Roman"/>
          <w:sz w:val="24"/>
          <w:szCs w:val="24"/>
        </w:rPr>
        <w:t xml:space="preserve">may </w:t>
      </w:r>
      <w:r w:rsidR="00267405" w:rsidRPr="00732156">
        <w:rPr>
          <w:rFonts w:ascii="Times New Roman" w:hAnsi="Times New Roman" w:cs="Times New Roman"/>
          <w:sz w:val="24"/>
          <w:szCs w:val="24"/>
        </w:rPr>
        <w:t>produce</w:t>
      </w:r>
      <w:r w:rsidR="00F71A84" w:rsidRPr="00732156">
        <w:rPr>
          <w:rFonts w:ascii="Times New Roman" w:hAnsi="Times New Roman" w:cs="Times New Roman"/>
          <w:sz w:val="24"/>
          <w:szCs w:val="24"/>
        </w:rPr>
        <w:t xml:space="preserve"> different outcome</w:t>
      </w:r>
      <w:r w:rsidR="00267405" w:rsidRPr="00732156">
        <w:rPr>
          <w:rFonts w:ascii="Times New Roman" w:hAnsi="Times New Roman" w:cs="Times New Roman"/>
          <w:sz w:val="24"/>
          <w:szCs w:val="24"/>
        </w:rPr>
        <w:t>s</w:t>
      </w:r>
      <w:r w:rsidR="00F71A84" w:rsidRPr="00732156">
        <w:rPr>
          <w:rFonts w:ascii="Times New Roman" w:hAnsi="Times New Roman" w:cs="Times New Roman"/>
          <w:sz w:val="24"/>
          <w:szCs w:val="24"/>
        </w:rPr>
        <w:t xml:space="preserve"> for decoupling</w:t>
      </w:r>
      <w:r w:rsidRPr="00732156">
        <w:rPr>
          <w:rFonts w:ascii="Times New Roman" w:hAnsi="Times New Roman" w:cs="Times New Roman"/>
          <w:sz w:val="24"/>
          <w:szCs w:val="24"/>
        </w:rPr>
        <w:t>.</w:t>
      </w:r>
      <w:r w:rsidR="00AD7DB3" w:rsidRPr="00732156">
        <w:rPr>
          <w:rFonts w:ascii="Times New Roman" w:hAnsi="Times New Roman" w:cs="Times New Roman"/>
          <w:sz w:val="24"/>
          <w:szCs w:val="24"/>
        </w:rPr>
        <w:t xml:space="preserve"> First, emission trading can effectively deal with the first</w:t>
      </w:r>
      <w:r w:rsidR="00801003" w:rsidRPr="00732156">
        <w:rPr>
          <w:rFonts w:ascii="Times New Roman" w:hAnsi="Times New Roman" w:cs="Times New Roman"/>
          <w:sz w:val="24"/>
          <w:szCs w:val="24"/>
        </w:rPr>
        <w:t xml:space="preserve"> fact</w:t>
      </w:r>
      <w:r w:rsidR="0025675B" w:rsidRPr="00732156">
        <w:rPr>
          <w:rFonts w:ascii="Times New Roman" w:hAnsi="Times New Roman" w:cs="Times New Roman"/>
          <w:sz w:val="24"/>
          <w:szCs w:val="24"/>
        </w:rPr>
        <w:t xml:space="preserve">or: </w:t>
      </w:r>
      <w:r w:rsidR="00801003" w:rsidRPr="00732156">
        <w:rPr>
          <w:rFonts w:ascii="Times New Roman" w:hAnsi="Times New Roman" w:cs="Times New Roman"/>
          <w:sz w:val="24"/>
          <w:szCs w:val="24"/>
        </w:rPr>
        <w:t>lowering abatement cost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Under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an 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emission trading scheme, liable firms whose abatement cost is below the price of carbon </w:t>
      </w:r>
      <w:r w:rsidR="00B17652" w:rsidRPr="00732156">
        <w:rPr>
          <w:rFonts w:ascii="Times New Roman" w:hAnsi="Times New Roman" w:cs="Times New Roman"/>
          <w:sz w:val="24"/>
          <w:szCs w:val="24"/>
        </w:rPr>
        <w:t>in the market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 have incentives to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further 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reduce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their 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GHG emissions,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as </w:t>
      </w:r>
      <w:r w:rsidR="00590750" w:rsidRPr="00732156">
        <w:rPr>
          <w:rFonts w:ascii="Times New Roman" w:hAnsi="Times New Roman" w:cs="Times New Roman"/>
          <w:sz w:val="24"/>
          <w:szCs w:val="24"/>
        </w:rPr>
        <w:t>they can have more allowance units</w:t>
      </w:r>
      <w:r w:rsidR="00DB35E1" w:rsidRPr="00732156">
        <w:rPr>
          <w:rFonts w:ascii="Times New Roman" w:hAnsi="Times New Roman" w:cs="Times New Roman"/>
          <w:sz w:val="24"/>
          <w:szCs w:val="24"/>
        </w:rPr>
        <w:t>,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>which they can sell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 to other firms whose abatement costs </w:t>
      </w:r>
      <w:r w:rsidR="00267405" w:rsidRPr="00732156">
        <w:rPr>
          <w:rFonts w:ascii="Times New Roman" w:hAnsi="Times New Roman" w:cs="Times New Roman"/>
          <w:sz w:val="24"/>
          <w:szCs w:val="24"/>
        </w:rPr>
        <w:t>are</w:t>
      </w:r>
      <w:r w:rsidR="00590750" w:rsidRPr="00732156">
        <w:rPr>
          <w:rFonts w:ascii="Times New Roman" w:hAnsi="Times New Roman" w:cs="Times New Roman"/>
          <w:sz w:val="24"/>
          <w:szCs w:val="24"/>
        </w:rPr>
        <w:t xml:space="preserve"> higher than the price.</w:t>
      </w:r>
      <w:r w:rsidR="00B17652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>Furthermore</w:t>
      </w:r>
      <w:r w:rsidR="00DA2C98" w:rsidRPr="00732156">
        <w:rPr>
          <w:rFonts w:ascii="Times New Roman" w:hAnsi="Times New Roman" w:cs="Times New Roman"/>
          <w:sz w:val="24"/>
          <w:szCs w:val="24"/>
        </w:rPr>
        <w:t>, it can encourage technological development (“environmental innovation”)</w:t>
      </w:r>
      <w:r w:rsidR="00DB35E1" w:rsidRPr="00732156">
        <w:rPr>
          <w:rFonts w:ascii="Times New Roman" w:hAnsi="Times New Roman" w:cs="Times New Roman"/>
          <w:sz w:val="24"/>
          <w:szCs w:val="24"/>
        </w:rPr>
        <w:t>,</w:t>
      </w:r>
      <w:r w:rsidR="00DA2C98" w:rsidRPr="00732156">
        <w:rPr>
          <w:rFonts w:ascii="Times New Roman" w:hAnsi="Times New Roman" w:cs="Times New Roman"/>
          <w:sz w:val="24"/>
          <w:szCs w:val="24"/>
        </w:rPr>
        <w:t xml:space="preserve"> which can gradually enhance polluters’ energy efficiency </w:t>
      </w:r>
      <w:r w:rsidR="00DA2C98" w:rsidRPr="00732156">
        <w:rPr>
          <w:rFonts w:ascii="Times New Roman" w:hAnsi="Times New Roman" w:cs="Times New Roman"/>
          <w:sz w:val="24"/>
          <w:szCs w:val="24"/>
        </w:rPr>
        <w:fldChar w:fldCharType="begin"/>
      </w:r>
      <w:r w:rsidR="00DA2C98" w:rsidRPr="0073215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&lt;EndNote&gt;&lt;Cite&gt;&lt;Author&gt;Rogge&lt;/Author&gt;&lt;Year&gt;2011&lt;/Year&gt;&lt;RecNum&gt;7&lt;/RecNum&gt;&lt;DisplayText&gt;(Rogge, Schneider, &amp;amp; Hoffmann, 2011)&lt;/DisplayText&gt;&lt;record&gt;&lt;rec-number&gt;7&lt;/rec-number&gt;&lt;foreign-keys&gt;&lt;key app="EN" db-id="zpptsp2wfex222ete5t5s09xaex5td9ep9vt" timestamp="1563514118"&gt;7&lt;/key&gt;&lt;/foreign-keys&gt;&lt;ref-type name="Journal Article"&gt;17&lt;/ref-type&gt;&lt;contributors&gt;&lt;authors&gt;&lt;author&gt;Rogge, Karoline S.&lt;/author&gt;&lt;author&gt;Schneider, Malte&lt;/author&gt;&lt;author&gt;Hoffmann, Volker H.&lt;/author&gt;&lt;/authors&gt;&lt;/contributors&gt;&lt;titles&gt;&lt;title&gt;The innovation impact of the EU Emission Trading System — Findings of company case studies in the German power sector&lt;/title&gt;&lt;secondary-title&gt;Ecological Economics&lt;/secondary-title&gt;&lt;/titles&gt;&lt;periodical&gt;&lt;full-title&gt;Ecological Economics&lt;/full-title&gt;&lt;/periodical&gt;&lt;pages&gt;513-523&lt;/pages&gt;&lt;volume&gt;70&lt;/volume&gt;&lt;number&gt;3&lt;/number&gt;&lt;keywords&gt;&lt;keyword&gt;EU ETS&lt;/keyword&gt;&lt;keyword&gt;Emission trading&lt;/keyword&gt;&lt;keyword&gt;Innovation&lt;/keyword&gt;&lt;keyword&gt;Technological change&lt;/keyword&gt;&lt;keyword&gt;Organizational change&lt;/keyword&gt;&lt;keyword&gt;Power sector&lt;/keyword&gt;&lt;/keywords&gt;&lt;dates&gt;&lt;year&gt;2011&lt;/year&gt;&lt;pub-dates&gt;&lt;date&gt;2011/01/15/&lt;/date&gt;&lt;/pub-dates&gt;&lt;/dates&gt;&lt;isbn&gt;0921-8009&lt;/isbn&gt;&lt;urls&gt;&lt;related-urls&gt;&lt;url&gt;http://www.sciencedirect.com/science/article/pii/S0921800910003915&lt;/url&gt;&lt;/related-urls&gt;&lt;/urls&gt;&lt;electronic-resource-num&gt;https://doi.org/10.1016/j.ecolecon.2010.09.032&lt;/electronic-resource-num&gt;&lt;/record&gt;&lt;/Cite&gt;&lt;/EndNote&gt;</w:instrText>
      </w:r>
      <w:r w:rsidR="00DA2C98" w:rsidRPr="00732156">
        <w:rPr>
          <w:rFonts w:ascii="Times New Roman" w:hAnsi="Times New Roman" w:cs="Times New Roman"/>
          <w:sz w:val="24"/>
          <w:szCs w:val="24"/>
        </w:rPr>
        <w:fldChar w:fldCharType="separate"/>
      </w:r>
      <w:r w:rsidR="00DA2C98" w:rsidRPr="00732156">
        <w:rPr>
          <w:rFonts w:ascii="Times New Roman" w:hAnsi="Times New Roman" w:cs="Times New Roman"/>
          <w:sz w:val="24"/>
          <w:szCs w:val="24"/>
        </w:rPr>
        <w:t>(Rogge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="00DA2C98" w:rsidRPr="00732156">
        <w:rPr>
          <w:rFonts w:ascii="Times New Roman" w:hAnsi="Times New Roman" w:cs="Times New Roman"/>
          <w:sz w:val="24"/>
          <w:szCs w:val="24"/>
        </w:rPr>
        <w:t xml:space="preserve"> 2011)</w:t>
      </w:r>
      <w:r w:rsidR="00DA2C98" w:rsidRPr="00732156">
        <w:rPr>
          <w:rFonts w:ascii="Times New Roman" w:hAnsi="Times New Roman" w:cs="Times New Roman"/>
          <w:sz w:val="24"/>
          <w:szCs w:val="24"/>
        </w:rPr>
        <w:fldChar w:fldCharType="end"/>
      </w:r>
      <w:r w:rsidR="00DA2C98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B17652" w:rsidRPr="0073215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71A18" w:rsidRPr="00732156">
        <w:rPr>
          <w:rFonts w:ascii="Times New Roman" w:hAnsi="Times New Roman" w:cs="Times New Roman"/>
          <w:sz w:val="24"/>
          <w:szCs w:val="24"/>
        </w:rPr>
        <w:t>heavy polluters can reduce their abatement cost by simply buying allowances</w:t>
      </w:r>
      <w:r w:rsidR="00B93670" w:rsidRPr="00732156">
        <w:rPr>
          <w:rFonts w:ascii="Times New Roman" w:hAnsi="Times New Roman" w:cs="Times New Roman"/>
          <w:sz w:val="24"/>
          <w:szCs w:val="24"/>
        </w:rPr>
        <w:t xml:space="preserve"> at a lower cost from the market</w:t>
      </w:r>
      <w:r w:rsidR="004224AB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E740BA" w:rsidRPr="00732156">
        <w:rPr>
          <w:rFonts w:ascii="Times New Roman" w:hAnsi="Times New Roman" w:cs="Times New Roman"/>
          <w:sz w:val="24"/>
          <w:szCs w:val="24"/>
        </w:rPr>
        <w:t xml:space="preserve">while </w:t>
      </w:r>
      <w:r w:rsidR="00AD4AB9" w:rsidRPr="00732156">
        <w:rPr>
          <w:rFonts w:ascii="Times New Roman" w:hAnsi="Times New Roman" w:cs="Times New Roman"/>
          <w:sz w:val="24"/>
          <w:szCs w:val="24"/>
        </w:rPr>
        <w:t xml:space="preserve">other firms </w:t>
      </w:r>
      <w:r w:rsidR="00AD4AB9"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can offset their cost of </w:t>
      </w:r>
      <w:r w:rsidR="00702E39" w:rsidRPr="00732156">
        <w:rPr>
          <w:rFonts w:ascii="Times New Roman" w:hAnsi="Times New Roman" w:cs="Times New Roman"/>
          <w:sz w:val="24"/>
          <w:szCs w:val="24"/>
        </w:rPr>
        <w:t>innovation</w:t>
      </w:r>
      <w:r w:rsidR="00322CEE" w:rsidRPr="00732156">
        <w:rPr>
          <w:rFonts w:ascii="Times New Roman" w:hAnsi="Times New Roman" w:cs="Times New Roman"/>
          <w:sz w:val="24"/>
          <w:szCs w:val="24"/>
        </w:rPr>
        <w:t xml:space="preserve"> for </w:t>
      </w:r>
      <w:r w:rsidR="00CC2722" w:rsidRPr="00732156">
        <w:rPr>
          <w:rFonts w:ascii="Times New Roman" w:hAnsi="Times New Roman" w:cs="Times New Roman"/>
          <w:sz w:val="24"/>
          <w:szCs w:val="24"/>
        </w:rPr>
        <w:t xml:space="preserve">efficient GHG reduction </w:t>
      </w:r>
      <w:r w:rsidR="00DB35E1" w:rsidRPr="00732156">
        <w:rPr>
          <w:rFonts w:ascii="Times New Roman" w:hAnsi="Times New Roman" w:cs="Times New Roman"/>
          <w:sz w:val="24"/>
          <w:szCs w:val="24"/>
        </w:rPr>
        <w:t>using the funds that</w:t>
      </w:r>
      <w:r w:rsidR="00AF34FD" w:rsidRPr="00732156">
        <w:rPr>
          <w:rFonts w:ascii="Times New Roman" w:hAnsi="Times New Roman" w:cs="Times New Roman"/>
          <w:sz w:val="24"/>
          <w:szCs w:val="24"/>
        </w:rPr>
        <w:t xml:space="preserve"> heavy polluters pay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to </w:t>
      </w:r>
      <w:r w:rsidR="00AF34FD" w:rsidRPr="00732156">
        <w:rPr>
          <w:rFonts w:ascii="Times New Roman" w:hAnsi="Times New Roman" w:cs="Times New Roman"/>
          <w:sz w:val="24"/>
          <w:szCs w:val="24"/>
        </w:rPr>
        <w:t xml:space="preserve">them. </w:t>
      </w:r>
      <w:r w:rsidR="00D7563D">
        <w:rPr>
          <w:rFonts w:ascii="Times New Roman" w:hAnsi="Times New Roman" w:cs="Times New Roman"/>
          <w:sz w:val="24"/>
          <w:szCs w:val="24"/>
        </w:rPr>
        <w:t>Additionally</w:t>
      </w:r>
      <w:r w:rsidR="00205448" w:rsidRPr="00732156">
        <w:rPr>
          <w:rFonts w:ascii="Times New Roman" w:hAnsi="Times New Roman" w:cs="Times New Roman"/>
          <w:sz w:val="24"/>
          <w:szCs w:val="24"/>
        </w:rPr>
        <w:t xml:space="preserve">, most emission trading schemes adopt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205448" w:rsidRPr="00732156">
        <w:rPr>
          <w:rFonts w:ascii="Times New Roman" w:hAnsi="Times New Roman" w:cs="Times New Roman"/>
          <w:sz w:val="24"/>
          <w:szCs w:val="24"/>
        </w:rPr>
        <w:t>“cap,” or</w:t>
      </w:r>
      <w:r w:rsidR="00E83C21" w:rsidRPr="00732156">
        <w:rPr>
          <w:rFonts w:ascii="Times New Roman" w:hAnsi="Times New Roman" w:cs="Times New Roman"/>
          <w:sz w:val="24"/>
          <w:szCs w:val="24"/>
        </w:rPr>
        <w:t xml:space="preserve"> total</w:t>
      </w:r>
      <w:r w:rsidR="0020544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83C21" w:rsidRPr="00732156">
        <w:rPr>
          <w:rFonts w:ascii="Times New Roman" w:hAnsi="Times New Roman" w:cs="Times New Roman"/>
          <w:sz w:val="24"/>
          <w:szCs w:val="24"/>
        </w:rPr>
        <w:t xml:space="preserve">upper bound for GHG emission. </w:t>
      </w:r>
      <w:r w:rsidR="00F3625A" w:rsidRPr="00732156">
        <w:rPr>
          <w:rFonts w:ascii="Times New Roman" w:hAnsi="Times New Roman" w:cs="Times New Roman"/>
          <w:sz w:val="24"/>
          <w:szCs w:val="24"/>
        </w:rPr>
        <w:t>This cap gradually declines over time to reduce emissions</w:t>
      </w:r>
      <w:r w:rsidR="00DB35E1" w:rsidRPr="00732156">
        <w:rPr>
          <w:rFonts w:ascii="Times New Roman" w:hAnsi="Times New Roman" w:cs="Times New Roman"/>
          <w:sz w:val="24"/>
          <w:szCs w:val="24"/>
        </w:rPr>
        <w:t>,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>and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to increase the price of emission permits</w:t>
      </w:r>
      <w:r w:rsidR="00DB35E1" w:rsidRPr="00732156">
        <w:rPr>
          <w:rFonts w:ascii="Times New Roman" w:hAnsi="Times New Roman" w:cs="Times New Roman"/>
          <w:sz w:val="24"/>
          <w:szCs w:val="24"/>
        </w:rPr>
        <w:t>.</w:t>
      </w:r>
      <w:r w:rsidR="00DA2C98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>This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ensure</w:t>
      </w:r>
      <w:r w:rsidR="00DB35E1" w:rsidRPr="00732156">
        <w:rPr>
          <w:rFonts w:ascii="Times New Roman" w:hAnsi="Times New Roman" w:cs="Times New Roman"/>
          <w:sz w:val="24"/>
          <w:szCs w:val="24"/>
        </w:rPr>
        <w:t>s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that </w:t>
      </w:r>
      <w:r w:rsidR="00F3625A" w:rsidRPr="00732156">
        <w:rPr>
          <w:rFonts w:ascii="Times New Roman" w:hAnsi="Times New Roman" w:cs="Times New Roman"/>
          <w:sz w:val="24"/>
          <w:szCs w:val="24"/>
        </w:rPr>
        <w:t>the emission reduction target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 is</w:t>
      </w:r>
      <w:r w:rsidR="00D7563D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>met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DA2C98" w:rsidRPr="00732156">
        <w:rPr>
          <w:rFonts w:ascii="Times New Roman" w:hAnsi="Times New Roman" w:cs="Times New Roman"/>
          <w:sz w:val="24"/>
          <w:szCs w:val="24"/>
        </w:rPr>
        <w:t xml:space="preserve">In </w:t>
      </w:r>
      <w:r w:rsidR="0006550E" w:rsidRPr="00732156">
        <w:rPr>
          <w:rFonts w:ascii="Times New Roman" w:hAnsi="Times New Roman" w:cs="Times New Roman"/>
          <w:sz w:val="24"/>
          <w:szCs w:val="24"/>
        </w:rPr>
        <w:t>theory</w:t>
      </w:r>
      <w:r w:rsidR="00DA2C98" w:rsidRPr="00732156">
        <w:rPr>
          <w:rFonts w:ascii="Times New Roman" w:hAnsi="Times New Roman" w:cs="Times New Roman"/>
          <w:sz w:val="24"/>
          <w:szCs w:val="24"/>
        </w:rPr>
        <w:t>,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emission trading can both achieve cost-efficient GHG reduction </w:t>
      </w:r>
      <w:r w:rsidR="00DB35E1" w:rsidRPr="00732156">
        <w:rPr>
          <w:rFonts w:ascii="Times New Roman" w:hAnsi="Times New Roman" w:cs="Times New Roman"/>
          <w:sz w:val="24"/>
          <w:szCs w:val="24"/>
        </w:rPr>
        <w:t>and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B35E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F3625A" w:rsidRPr="00732156">
        <w:rPr>
          <w:rFonts w:ascii="Times New Roman" w:hAnsi="Times New Roman" w:cs="Times New Roman"/>
          <w:sz w:val="24"/>
          <w:szCs w:val="24"/>
        </w:rPr>
        <w:t>actual mitigation of GHG emission</w:t>
      </w:r>
      <w:r w:rsidR="00DB35E1" w:rsidRPr="00732156">
        <w:rPr>
          <w:rFonts w:ascii="Times New Roman" w:hAnsi="Times New Roman" w:cs="Times New Roman"/>
          <w:sz w:val="24"/>
          <w:szCs w:val="24"/>
        </w:rPr>
        <w:t>s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in a flexible way </w:t>
      </w:r>
      <w:r w:rsidR="00F3625A" w:rsidRPr="00732156">
        <w:rPr>
          <w:rFonts w:ascii="Times New Roman" w:hAnsi="Times New Roman" w:cs="Times New Roman"/>
          <w:sz w:val="24"/>
          <w:szCs w:val="24"/>
        </w:rPr>
        <w:t xml:space="preserve">(Boyce 2018). </w:t>
      </w:r>
    </w:p>
    <w:p w14:paraId="4A99ABB7" w14:textId="403D41BF" w:rsidR="00E1468F" w:rsidRPr="00732156" w:rsidRDefault="008B2338" w:rsidP="00B660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DA2C98" w:rsidRPr="00732156">
        <w:rPr>
          <w:rFonts w:ascii="Times New Roman" w:hAnsi="Times New Roman" w:cs="Times New Roman"/>
          <w:sz w:val="24"/>
          <w:szCs w:val="24"/>
        </w:rPr>
        <w:t>Meanwhile, c</w:t>
      </w:r>
      <w:r w:rsidRPr="00732156">
        <w:rPr>
          <w:rFonts w:ascii="Times New Roman" w:hAnsi="Times New Roman" w:cs="Times New Roman"/>
          <w:sz w:val="24"/>
          <w:szCs w:val="24"/>
        </w:rPr>
        <w:t xml:space="preserve">arbon tax </w:t>
      </w:r>
      <w:r w:rsidR="003B7A4F" w:rsidRPr="00732156">
        <w:rPr>
          <w:rFonts w:ascii="Times New Roman" w:hAnsi="Times New Roman" w:cs="Times New Roman"/>
          <w:sz w:val="24"/>
          <w:szCs w:val="24"/>
        </w:rPr>
        <w:t xml:space="preserve">operates by </w:t>
      </w:r>
      <w:r w:rsidRPr="00732156">
        <w:rPr>
          <w:rFonts w:ascii="Times New Roman" w:hAnsi="Times New Roman" w:cs="Times New Roman"/>
          <w:sz w:val="24"/>
          <w:szCs w:val="24"/>
        </w:rPr>
        <w:t>set</w:t>
      </w:r>
      <w:r w:rsidR="003B7A4F" w:rsidRPr="00732156">
        <w:rPr>
          <w:rFonts w:ascii="Times New Roman" w:hAnsi="Times New Roman" w:cs="Times New Roman"/>
          <w:sz w:val="24"/>
          <w:szCs w:val="24"/>
        </w:rPr>
        <w:t>ting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a</w:t>
      </w:r>
      <w:r w:rsidRPr="00732156">
        <w:rPr>
          <w:rFonts w:ascii="Times New Roman" w:hAnsi="Times New Roman" w:cs="Times New Roman"/>
          <w:sz w:val="24"/>
          <w:szCs w:val="24"/>
        </w:rPr>
        <w:t xml:space="preserve"> tax rate per unit of emissions</w:t>
      </w:r>
      <w:r w:rsidR="00777136" w:rsidRPr="00732156">
        <w:rPr>
          <w:rFonts w:ascii="Times New Roman" w:hAnsi="Times New Roman" w:cs="Times New Roman"/>
          <w:sz w:val="24"/>
          <w:szCs w:val="24"/>
        </w:rPr>
        <w:t xml:space="preserve"> or fossil fuel use (tax base)</w:t>
      </w:r>
      <w:r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A95F0A" w:rsidRPr="00732156">
        <w:rPr>
          <w:rFonts w:ascii="Times New Roman" w:hAnsi="Times New Roman" w:cs="Times New Roman"/>
          <w:sz w:val="24"/>
          <w:szCs w:val="24"/>
        </w:rPr>
        <w:t>It aims</w:t>
      </w:r>
      <w:r w:rsidR="00214086" w:rsidRPr="00732156">
        <w:rPr>
          <w:rFonts w:ascii="Times New Roman" w:hAnsi="Times New Roman" w:cs="Times New Roman"/>
          <w:sz w:val="24"/>
          <w:szCs w:val="24"/>
        </w:rPr>
        <w:t xml:space="preserve"> to gradually dampen the use of taxed fossil fuels </w:t>
      </w:r>
      <w:r w:rsidR="00777136" w:rsidRPr="00732156">
        <w:rPr>
          <w:rFonts w:ascii="Times New Roman" w:hAnsi="Times New Roman" w:cs="Times New Roman"/>
          <w:sz w:val="24"/>
          <w:szCs w:val="24"/>
        </w:rPr>
        <w:t xml:space="preserve">or GHG emissions by increasing prices </w:t>
      </w:r>
      <w:r w:rsidRPr="00732156">
        <w:rPr>
          <w:rFonts w:ascii="Times New Roman" w:hAnsi="Times New Roman" w:cs="Times New Roman"/>
          <w:sz w:val="24"/>
          <w:szCs w:val="24"/>
        </w:rPr>
        <w:t xml:space="preserve">(Haites 2018). 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Carbon tax may bring </w:t>
      </w:r>
      <w:r w:rsidR="003B7A4F" w:rsidRPr="00732156">
        <w:rPr>
          <w:rFonts w:ascii="Times New Roman" w:hAnsi="Times New Roman" w:cs="Times New Roman"/>
          <w:sz w:val="24"/>
          <w:szCs w:val="24"/>
        </w:rPr>
        <w:t>“</w:t>
      </w:r>
      <w:r w:rsidR="00AF2655" w:rsidRPr="00732156">
        <w:rPr>
          <w:rFonts w:ascii="Times New Roman" w:hAnsi="Times New Roman" w:cs="Times New Roman"/>
          <w:sz w:val="24"/>
          <w:szCs w:val="24"/>
        </w:rPr>
        <w:t>an</w:t>
      </w:r>
      <w:r w:rsidR="002948E7" w:rsidRPr="00732156">
        <w:rPr>
          <w:rFonts w:ascii="Times New Roman" w:hAnsi="Times New Roman" w:cs="Times New Roman"/>
          <w:sz w:val="24"/>
          <w:szCs w:val="24"/>
        </w:rPr>
        <w:t xml:space="preserve"> environmental double dividen</w:t>
      </w:r>
      <w:r w:rsidR="00AF2655" w:rsidRPr="00732156">
        <w:rPr>
          <w:rFonts w:ascii="Times New Roman" w:hAnsi="Times New Roman" w:cs="Times New Roman"/>
          <w:sz w:val="24"/>
          <w:szCs w:val="24"/>
        </w:rPr>
        <w:t>d</w:t>
      </w:r>
      <w:r w:rsidR="003B7A4F" w:rsidRPr="00732156">
        <w:rPr>
          <w:rFonts w:ascii="Times New Roman" w:hAnsi="Times New Roman" w:cs="Times New Roman"/>
          <w:sz w:val="24"/>
          <w:szCs w:val="24"/>
        </w:rPr>
        <w:t>”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 through emission reduction</w:t>
      </w:r>
      <w:r w:rsidR="0057148D" w:rsidRPr="00732156">
        <w:rPr>
          <w:rFonts w:ascii="Times New Roman" w:hAnsi="Times New Roman" w:cs="Times New Roman"/>
          <w:sz w:val="24"/>
          <w:szCs w:val="24"/>
        </w:rPr>
        <w:t>.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7148D" w:rsidRPr="00732156">
        <w:rPr>
          <w:rFonts w:ascii="Times New Roman" w:hAnsi="Times New Roman" w:cs="Times New Roman"/>
          <w:sz w:val="24"/>
          <w:szCs w:val="24"/>
        </w:rPr>
        <w:t>The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 tax revenue </w:t>
      </w:r>
      <w:r w:rsidR="0057148D" w:rsidRPr="00732156">
        <w:rPr>
          <w:rFonts w:ascii="Times New Roman" w:hAnsi="Times New Roman" w:cs="Times New Roman"/>
          <w:sz w:val="24"/>
          <w:szCs w:val="24"/>
        </w:rPr>
        <w:t xml:space="preserve">can also be used to mitigate 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57148D" w:rsidRPr="00732156">
        <w:rPr>
          <w:rFonts w:ascii="Times New Roman" w:hAnsi="Times New Roman" w:cs="Times New Roman"/>
          <w:sz w:val="24"/>
          <w:szCs w:val="24"/>
        </w:rPr>
        <w:t xml:space="preserve">hazards 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(Baranzini et al 2000). </w:t>
      </w:r>
      <w:r w:rsidR="00214086" w:rsidRPr="00732156">
        <w:rPr>
          <w:rFonts w:ascii="Times New Roman" w:hAnsi="Times New Roman" w:cs="Times New Roman"/>
          <w:sz w:val="24"/>
          <w:szCs w:val="24"/>
        </w:rPr>
        <w:t xml:space="preserve">However, </w:t>
      </w:r>
      <w:r w:rsidR="0070481C" w:rsidRPr="00732156">
        <w:rPr>
          <w:rFonts w:ascii="Times New Roman" w:hAnsi="Times New Roman" w:cs="Times New Roman"/>
          <w:sz w:val="24"/>
          <w:szCs w:val="24"/>
        </w:rPr>
        <w:t xml:space="preserve">it </w:t>
      </w:r>
      <w:r w:rsidR="00CD1A61" w:rsidRPr="00732156">
        <w:rPr>
          <w:rFonts w:ascii="Times New Roman" w:hAnsi="Times New Roman" w:cs="Times New Roman"/>
          <w:sz w:val="24"/>
          <w:szCs w:val="24"/>
        </w:rPr>
        <w:t>may</w:t>
      </w:r>
      <w:r w:rsidR="009F597A" w:rsidRPr="00732156">
        <w:rPr>
          <w:rFonts w:ascii="Times New Roman" w:hAnsi="Times New Roman" w:cs="Times New Roman"/>
          <w:sz w:val="24"/>
          <w:szCs w:val="24"/>
        </w:rPr>
        <w:t xml:space="preserve"> not provide </w:t>
      </w:r>
      <w:r w:rsidR="00CD1A61" w:rsidRPr="00732156">
        <w:rPr>
          <w:rFonts w:ascii="Times New Roman" w:hAnsi="Times New Roman" w:cs="Times New Roman"/>
          <w:sz w:val="24"/>
          <w:szCs w:val="24"/>
        </w:rPr>
        <w:t xml:space="preserve">more </w:t>
      </w:r>
      <w:r w:rsidR="0057148D" w:rsidRPr="00732156">
        <w:rPr>
          <w:rFonts w:ascii="Times New Roman" w:hAnsi="Times New Roman" w:cs="Times New Roman"/>
          <w:sz w:val="24"/>
          <w:szCs w:val="24"/>
        </w:rPr>
        <w:t xml:space="preserve">of an </w:t>
      </w:r>
      <w:r w:rsidR="00CD1A61" w:rsidRPr="00732156">
        <w:rPr>
          <w:rFonts w:ascii="Times New Roman" w:hAnsi="Times New Roman" w:cs="Times New Roman"/>
          <w:sz w:val="24"/>
          <w:szCs w:val="24"/>
        </w:rPr>
        <w:t>incentive</w:t>
      </w:r>
      <w:r w:rsidR="009F597A" w:rsidRPr="00732156">
        <w:rPr>
          <w:rFonts w:ascii="Times New Roman" w:hAnsi="Times New Roman" w:cs="Times New Roman"/>
          <w:sz w:val="24"/>
          <w:szCs w:val="24"/>
        </w:rPr>
        <w:t xml:space="preserve"> for heavy polluters to reduce their abatement cost</w:t>
      </w:r>
      <w:r w:rsidR="00CD1A61" w:rsidRPr="00732156">
        <w:rPr>
          <w:rFonts w:ascii="Times New Roman" w:hAnsi="Times New Roman" w:cs="Times New Roman"/>
          <w:sz w:val="24"/>
          <w:szCs w:val="24"/>
        </w:rPr>
        <w:t xml:space="preserve"> if incremental carbon tax rates are not set</w:t>
      </w:r>
      <w:r w:rsidR="009F597A" w:rsidRPr="00732156">
        <w:rPr>
          <w:rFonts w:ascii="Times New Roman" w:hAnsi="Times New Roman" w:cs="Times New Roman"/>
          <w:sz w:val="24"/>
          <w:szCs w:val="24"/>
        </w:rPr>
        <w:t xml:space="preserve">. Generally, </w:t>
      </w:r>
      <w:r w:rsidR="00217222" w:rsidRPr="00732156">
        <w:rPr>
          <w:rFonts w:ascii="Times New Roman" w:hAnsi="Times New Roman" w:cs="Times New Roman"/>
          <w:sz w:val="24"/>
          <w:szCs w:val="24"/>
        </w:rPr>
        <w:t xml:space="preserve">all polluters must pay taxes </w:t>
      </w:r>
      <w:r w:rsidR="008A32B1">
        <w:rPr>
          <w:rFonts w:ascii="Times New Roman" w:hAnsi="Times New Roman" w:cs="Times New Roman"/>
          <w:sz w:val="24"/>
          <w:szCs w:val="24"/>
        </w:rPr>
        <w:t>per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the amount of</w:t>
      </w:r>
      <w:r w:rsidR="00217222" w:rsidRPr="00732156">
        <w:rPr>
          <w:rFonts w:ascii="Times New Roman" w:hAnsi="Times New Roman" w:cs="Times New Roman"/>
          <w:sz w:val="24"/>
          <w:szCs w:val="24"/>
        </w:rPr>
        <w:t xml:space="preserve"> fossil fuel they use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or </w:t>
      </w:r>
      <w:r w:rsidR="0057148D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06550E" w:rsidRPr="00732156">
        <w:rPr>
          <w:rFonts w:ascii="Times New Roman" w:hAnsi="Times New Roman" w:cs="Times New Roman"/>
          <w:sz w:val="24"/>
          <w:szCs w:val="24"/>
        </w:rPr>
        <w:t>GHGs they emit</w:t>
      </w:r>
      <w:r w:rsidR="00217222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7A5D9F" w:rsidRPr="00732156">
        <w:rPr>
          <w:rFonts w:ascii="Times New Roman" w:hAnsi="Times New Roman" w:cs="Times New Roman"/>
          <w:sz w:val="24"/>
          <w:szCs w:val="24"/>
        </w:rPr>
        <w:t xml:space="preserve">which are </w:t>
      </w:r>
      <w:r w:rsidR="009D37F7" w:rsidRPr="00732156">
        <w:rPr>
          <w:rFonts w:ascii="Times New Roman" w:hAnsi="Times New Roman" w:cs="Times New Roman"/>
          <w:sz w:val="24"/>
          <w:szCs w:val="24"/>
        </w:rPr>
        <w:t xml:space="preserve">set by the government in a top-down </w:t>
      </w:r>
      <w:r w:rsidR="00A95F0A" w:rsidRPr="00732156">
        <w:rPr>
          <w:rFonts w:ascii="Times New Roman" w:hAnsi="Times New Roman" w:cs="Times New Roman"/>
          <w:sz w:val="24"/>
          <w:szCs w:val="24"/>
        </w:rPr>
        <w:t>manner</w:t>
      </w:r>
      <w:r w:rsidR="009D37F7" w:rsidRPr="00732156">
        <w:rPr>
          <w:rFonts w:ascii="Times New Roman" w:hAnsi="Times New Roman" w:cs="Times New Roman"/>
          <w:sz w:val="24"/>
          <w:szCs w:val="24"/>
        </w:rPr>
        <w:t>.</w:t>
      </w:r>
      <w:r w:rsidR="00F71A84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80B1F" w:rsidRPr="00732156">
        <w:rPr>
          <w:rFonts w:ascii="Times New Roman" w:hAnsi="Times New Roman" w:cs="Times New Roman"/>
          <w:sz w:val="24"/>
          <w:szCs w:val="24"/>
        </w:rPr>
        <w:t xml:space="preserve">Therefore, carbon tax may be less </w:t>
      </w:r>
      <w:r w:rsidR="0006550E" w:rsidRPr="00732156">
        <w:rPr>
          <w:rFonts w:ascii="Times New Roman" w:hAnsi="Times New Roman" w:cs="Times New Roman"/>
          <w:sz w:val="24"/>
          <w:szCs w:val="24"/>
        </w:rPr>
        <w:t>flexible</w:t>
      </w:r>
      <w:r w:rsidR="00180B1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67405" w:rsidRPr="00732156">
        <w:rPr>
          <w:rFonts w:ascii="Times New Roman" w:hAnsi="Times New Roman" w:cs="Times New Roman"/>
          <w:sz w:val="24"/>
          <w:szCs w:val="24"/>
        </w:rPr>
        <w:t>in</w:t>
      </w:r>
      <w:r w:rsidR="00180B1F" w:rsidRPr="00732156">
        <w:rPr>
          <w:rFonts w:ascii="Times New Roman" w:hAnsi="Times New Roman" w:cs="Times New Roman"/>
          <w:sz w:val="24"/>
          <w:szCs w:val="24"/>
        </w:rPr>
        <w:t xml:space="preserve"> reducing abatement cost than emission trading.</w:t>
      </w:r>
      <w:r w:rsidR="009D37F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In </w:t>
      </w:r>
      <w:r w:rsidR="001627BA" w:rsidRPr="00732156">
        <w:rPr>
          <w:rFonts w:ascii="Times New Roman" w:hAnsi="Times New Roman" w:cs="Times New Roman"/>
          <w:sz w:val="24"/>
          <w:szCs w:val="24"/>
        </w:rPr>
        <w:t>addition</w:t>
      </w:r>
      <w:r w:rsidR="00180B1F" w:rsidRPr="00732156">
        <w:rPr>
          <w:rFonts w:ascii="Times New Roman" w:hAnsi="Times New Roman" w:cs="Times New Roman"/>
          <w:sz w:val="24"/>
          <w:szCs w:val="24"/>
        </w:rPr>
        <w:t xml:space="preserve">, carbon tax does not set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180B1F" w:rsidRPr="00732156">
        <w:rPr>
          <w:rFonts w:ascii="Times New Roman" w:hAnsi="Times New Roman" w:cs="Times New Roman"/>
          <w:sz w:val="24"/>
          <w:szCs w:val="24"/>
        </w:rPr>
        <w:t>ca</w:t>
      </w:r>
      <w:r w:rsidR="00ED0EC8" w:rsidRPr="00732156">
        <w:rPr>
          <w:rFonts w:ascii="Times New Roman" w:hAnsi="Times New Roman" w:cs="Times New Roman"/>
          <w:sz w:val="24"/>
          <w:szCs w:val="24"/>
        </w:rPr>
        <w:t xml:space="preserve">p, which may not ensure 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that </w:t>
      </w:r>
      <w:r w:rsidR="00ED0EC8" w:rsidRPr="00732156">
        <w:rPr>
          <w:rFonts w:ascii="Times New Roman" w:hAnsi="Times New Roman" w:cs="Times New Roman"/>
          <w:sz w:val="24"/>
          <w:szCs w:val="24"/>
        </w:rPr>
        <w:t>actual GHG reduction</w:t>
      </w:r>
      <w:r w:rsidR="00E1468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is achieved, </w:t>
      </w:r>
      <w:r w:rsidR="00E1468F" w:rsidRPr="00732156">
        <w:rPr>
          <w:rFonts w:ascii="Times New Roman" w:hAnsi="Times New Roman" w:cs="Times New Roman"/>
          <w:sz w:val="24"/>
          <w:szCs w:val="24"/>
        </w:rPr>
        <w:t>if there are a significant number of f</w:t>
      </w:r>
      <w:r w:rsidR="004260CF" w:rsidRPr="00732156">
        <w:rPr>
          <w:rFonts w:ascii="Times New Roman" w:hAnsi="Times New Roman" w:cs="Times New Roman"/>
          <w:sz w:val="24"/>
          <w:szCs w:val="24"/>
        </w:rPr>
        <w:t>irms or individuals wh</w:t>
      </w:r>
      <w:r w:rsidR="00E1468F" w:rsidRPr="00732156">
        <w:rPr>
          <w:rFonts w:ascii="Times New Roman" w:hAnsi="Times New Roman" w:cs="Times New Roman"/>
          <w:sz w:val="24"/>
          <w:szCs w:val="24"/>
        </w:rPr>
        <w:t>o</w:t>
      </w:r>
      <w:r w:rsidR="004260CF" w:rsidRPr="00732156">
        <w:rPr>
          <w:rFonts w:ascii="Times New Roman" w:hAnsi="Times New Roman" w:cs="Times New Roman"/>
          <w:sz w:val="24"/>
          <w:szCs w:val="24"/>
        </w:rPr>
        <w:t xml:space="preserve"> find paying taxes 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to be </w:t>
      </w:r>
      <w:r w:rsidR="004260CF" w:rsidRPr="00732156">
        <w:rPr>
          <w:rFonts w:ascii="Times New Roman" w:hAnsi="Times New Roman" w:cs="Times New Roman"/>
          <w:sz w:val="24"/>
          <w:szCs w:val="24"/>
        </w:rPr>
        <w:t xml:space="preserve">less costly than </w:t>
      </w:r>
      <w:r w:rsidR="00EB6307" w:rsidRPr="00732156">
        <w:rPr>
          <w:rFonts w:ascii="Times New Roman" w:hAnsi="Times New Roman" w:cs="Times New Roman"/>
          <w:sz w:val="24"/>
          <w:szCs w:val="24"/>
        </w:rPr>
        <w:t>reducing their fossil fuel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 usage</w:t>
      </w:r>
      <w:r w:rsidR="00E1468F" w:rsidRPr="00732156">
        <w:rPr>
          <w:rFonts w:ascii="Times New Roman" w:hAnsi="Times New Roman" w:cs="Times New Roman"/>
          <w:sz w:val="24"/>
          <w:szCs w:val="24"/>
        </w:rPr>
        <w:t>.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04124B">
        <w:rPr>
          <w:rFonts w:ascii="Times New Roman" w:hAnsi="Times New Roman" w:cs="Times New Roman"/>
          <w:sz w:val="24"/>
          <w:szCs w:val="24"/>
        </w:rPr>
        <w:t>Finally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, innovation is hardly promoted by the </w:t>
      </w:r>
      <w:r w:rsidR="006C15E3" w:rsidRPr="00732156">
        <w:rPr>
          <w:rFonts w:ascii="Times New Roman" w:hAnsi="Times New Roman" w:cs="Times New Roman"/>
          <w:sz w:val="24"/>
          <w:szCs w:val="24"/>
        </w:rPr>
        <w:t>taxpayers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(industry, home, or automobiles) because the revenue of the carbon tax belong</w:t>
      </w:r>
      <w:r w:rsidR="006C15E3" w:rsidRPr="00732156">
        <w:rPr>
          <w:rFonts w:ascii="Times New Roman" w:hAnsi="Times New Roman" w:cs="Times New Roman"/>
          <w:sz w:val="24"/>
          <w:szCs w:val="24"/>
        </w:rPr>
        <w:t>s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to the government. Those 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who 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emit GHGs may have less incentive to innovatively reduce </w:t>
      </w:r>
      <w:r w:rsidR="009C73CF" w:rsidRPr="00732156">
        <w:rPr>
          <w:rFonts w:ascii="Times New Roman" w:hAnsi="Times New Roman" w:cs="Times New Roman"/>
          <w:sz w:val="24"/>
          <w:szCs w:val="24"/>
        </w:rPr>
        <w:t xml:space="preserve">their </w:t>
      </w:r>
      <w:r w:rsidR="0006550E" w:rsidRPr="00732156">
        <w:rPr>
          <w:rFonts w:ascii="Times New Roman" w:hAnsi="Times New Roman" w:cs="Times New Roman"/>
          <w:sz w:val="24"/>
          <w:szCs w:val="24"/>
        </w:rPr>
        <w:t>GHG emissions</w:t>
      </w:r>
      <w:r w:rsidR="009C73CF" w:rsidRPr="00732156">
        <w:rPr>
          <w:rFonts w:ascii="Times New Roman" w:hAnsi="Times New Roman" w:cs="Times New Roman"/>
          <w:sz w:val="24"/>
          <w:szCs w:val="24"/>
        </w:rPr>
        <w:t>,</w:t>
      </w:r>
      <w:r w:rsidR="00AF2655" w:rsidRPr="00732156">
        <w:rPr>
          <w:rFonts w:ascii="Times New Roman" w:hAnsi="Times New Roman" w:cs="Times New Roman"/>
          <w:sz w:val="24"/>
          <w:szCs w:val="24"/>
        </w:rPr>
        <w:t xml:space="preserve"> due to lack of direct benefits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. Previous studies suggest that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may have a negative impact on GDP if revenues from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06550E" w:rsidRPr="00732156">
        <w:rPr>
          <w:rFonts w:ascii="Times New Roman" w:hAnsi="Times New Roman" w:cs="Times New Roman"/>
          <w:sz w:val="24"/>
          <w:szCs w:val="24"/>
        </w:rPr>
        <w:t xml:space="preserve"> are not properly used to promote innovation or alternative economic activities (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Allan et al 2014; </w:t>
      </w:r>
      <w:r w:rsidR="0006550E" w:rsidRPr="00732156">
        <w:rPr>
          <w:rFonts w:ascii="Times New Roman" w:hAnsi="Times New Roman" w:cs="Times New Roman"/>
          <w:sz w:val="24"/>
          <w:szCs w:val="24"/>
        </w:rPr>
        <w:t>Meng et al 2013).</w:t>
      </w:r>
    </w:p>
    <w:p w14:paraId="079564DF" w14:textId="77653B21" w:rsidR="0070481C" w:rsidRPr="00732156" w:rsidRDefault="00E1468F" w:rsidP="00B660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Our survey of the difference between emission trading and carbon tax generates testable hypotheses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732156">
        <w:rPr>
          <w:rFonts w:ascii="Times New Roman" w:hAnsi="Times New Roman" w:cs="Times New Roman"/>
          <w:sz w:val="24"/>
          <w:szCs w:val="24"/>
        </w:rPr>
        <w:t xml:space="preserve">the relationship between decoupling and carbon pricing. We expect that emission trading contributes to </w:t>
      </w:r>
      <w:r w:rsidR="00DD670B" w:rsidRPr="00732156">
        <w:rPr>
          <w:rFonts w:ascii="Times New Roman" w:hAnsi="Times New Roman" w:cs="Times New Roman"/>
          <w:sz w:val="24"/>
          <w:szCs w:val="24"/>
        </w:rPr>
        <w:t xml:space="preserve">decoupling, most likely strong decoupling. However, we expect that carbon tax </w:t>
      </w:r>
      <w:r w:rsidR="00950CCE" w:rsidRPr="00732156">
        <w:rPr>
          <w:rFonts w:ascii="Times New Roman" w:hAnsi="Times New Roman" w:cs="Times New Roman"/>
          <w:sz w:val="24"/>
          <w:szCs w:val="24"/>
        </w:rPr>
        <w:t>does not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 promote decoupling</w:t>
      </w:r>
      <w:r w:rsidR="00950CCE" w:rsidRPr="00732156">
        <w:rPr>
          <w:rFonts w:ascii="Times New Roman" w:hAnsi="Times New Roman" w:cs="Times New Roman"/>
          <w:sz w:val="24"/>
          <w:szCs w:val="24"/>
        </w:rPr>
        <w:t>, or at best contribute</w:t>
      </w:r>
      <w:r w:rsidR="00267405" w:rsidRPr="00732156">
        <w:rPr>
          <w:rFonts w:ascii="Times New Roman" w:hAnsi="Times New Roman" w:cs="Times New Roman"/>
          <w:sz w:val="24"/>
          <w:szCs w:val="24"/>
        </w:rPr>
        <w:t>s</w:t>
      </w:r>
      <w:r w:rsidR="00950CCE" w:rsidRPr="00732156">
        <w:rPr>
          <w:rFonts w:ascii="Times New Roman" w:hAnsi="Times New Roman" w:cs="Times New Roman"/>
          <w:sz w:val="24"/>
          <w:szCs w:val="24"/>
        </w:rPr>
        <w:t xml:space="preserve"> to weak decoupling. </w:t>
      </w:r>
      <w:r w:rsidR="00544EA1" w:rsidRPr="00732156">
        <w:rPr>
          <w:rFonts w:ascii="Times New Roman" w:hAnsi="Times New Roman" w:cs="Times New Roman"/>
          <w:sz w:val="24"/>
          <w:szCs w:val="24"/>
        </w:rPr>
        <w:t>In the next section, we present our data and strategy to test these hypotheses.</w:t>
      </w:r>
    </w:p>
    <w:p w14:paraId="39E160CC" w14:textId="77777777" w:rsidR="00303073" w:rsidRPr="00732156" w:rsidRDefault="00303073" w:rsidP="00B97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E15A5" w14:textId="3CF2A516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15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AA0B40" w:rsidRPr="00732156">
        <w:rPr>
          <w:rFonts w:ascii="Times New Roman" w:hAnsi="Times New Roman" w:cs="Times New Roman"/>
          <w:b/>
          <w:bCs/>
          <w:sz w:val="24"/>
          <w:szCs w:val="24"/>
        </w:rPr>
        <w:t xml:space="preserve"> and method</w:t>
      </w:r>
    </w:p>
    <w:p w14:paraId="6B00FEE8" w14:textId="4B0AB083" w:rsidR="00FE7AF6" w:rsidRPr="00732156" w:rsidRDefault="00FE7AF6" w:rsidP="005863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We use a novel panel data of 30 European countries </w:t>
      </w:r>
      <w:r w:rsidR="00F67612" w:rsidRPr="00732156">
        <w:rPr>
          <w:rFonts w:ascii="Times New Roman" w:hAnsi="Times New Roman" w:cs="Times New Roman"/>
          <w:sz w:val="24"/>
          <w:szCs w:val="24"/>
        </w:rPr>
        <w:t>from</w:t>
      </w:r>
      <w:r w:rsidRPr="00732156">
        <w:rPr>
          <w:rFonts w:ascii="Times New Roman" w:hAnsi="Times New Roman" w:cs="Times New Roman"/>
          <w:sz w:val="24"/>
          <w:szCs w:val="24"/>
        </w:rPr>
        <w:t xml:space="preserve"> 1996</w:t>
      </w:r>
      <w:r w:rsidR="00996BA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F67612" w:rsidRPr="00732156">
        <w:rPr>
          <w:rFonts w:ascii="Times New Roman" w:hAnsi="Times New Roman" w:cs="Times New Roman"/>
          <w:sz w:val="24"/>
          <w:szCs w:val="24"/>
        </w:rPr>
        <w:t>to</w:t>
      </w:r>
      <w:r w:rsidR="00AA25B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 xml:space="preserve">2014. </w:t>
      </w:r>
      <w:r w:rsidR="00996BA7" w:rsidRPr="00732156">
        <w:rPr>
          <w:rFonts w:ascii="Times New Roman" w:hAnsi="Times New Roman" w:cs="Times New Roman"/>
          <w:sz w:val="24"/>
          <w:szCs w:val="24"/>
        </w:rPr>
        <w:t>Our</w:t>
      </w:r>
      <w:r w:rsidRPr="00732156">
        <w:rPr>
          <w:rFonts w:ascii="Times New Roman" w:hAnsi="Times New Roman" w:cs="Times New Roman"/>
          <w:sz w:val="24"/>
          <w:szCs w:val="24"/>
        </w:rPr>
        <w:t xml:space="preserve"> data</w:t>
      </w:r>
      <w:r w:rsidR="00996BA7" w:rsidRPr="00732156">
        <w:rPr>
          <w:rFonts w:ascii="Times New Roman" w:hAnsi="Times New Roman" w:cs="Times New Roman"/>
          <w:sz w:val="24"/>
          <w:szCs w:val="24"/>
        </w:rPr>
        <w:t>set</w:t>
      </w:r>
      <w:r w:rsidRPr="00732156">
        <w:rPr>
          <w:rFonts w:ascii="Times New Roman" w:hAnsi="Times New Roman" w:cs="Times New Roman"/>
          <w:sz w:val="24"/>
          <w:szCs w:val="24"/>
        </w:rPr>
        <w:t xml:space="preserve"> is strongly balanced except that Iceland does not have Polity IV score, which will be discussed in the later section. 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Choosing European countries as a sample group has two reasons. First, focusing on a single region like Europe mitigates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unobserved variable biases that arise when comparing countries from different regions. For instance, </w:t>
      </w:r>
      <w:r w:rsidR="00267405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84141F" w:rsidRPr="00732156">
        <w:rPr>
          <w:rFonts w:ascii="Times New Roman" w:hAnsi="Times New Roman" w:cs="Times New Roman"/>
          <w:sz w:val="24"/>
          <w:szCs w:val="24"/>
        </w:rPr>
        <w:t>European Union Emission Trading System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 (EU-ETS)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 and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84141F" w:rsidRPr="00732156">
        <w:rPr>
          <w:rFonts w:ascii="Times New Roman" w:hAnsi="Times New Roman" w:cs="Times New Roman"/>
          <w:sz w:val="24"/>
          <w:szCs w:val="24"/>
        </w:rPr>
        <w:t>ETS in South Korea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 (KETS)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differ </w:t>
      </w:r>
      <w:r w:rsidR="0084141F" w:rsidRPr="00732156">
        <w:rPr>
          <w:rFonts w:ascii="Times New Roman" w:hAnsi="Times New Roman" w:cs="Times New Roman"/>
          <w:sz w:val="24"/>
          <w:szCs w:val="24"/>
        </w:rPr>
        <w:t>significantly in terms of their scope, design, and policy goal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. This </w:t>
      </w:r>
      <w:r w:rsidR="0084141F" w:rsidRPr="00732156">
        <w:rPr>
          <w:rFonts w:ascii="Times New Roman" w:hAnsi="Times New Roman" w:cs="Times New Roman"/>
          <w:sz w:val="24"/>
          <w:szCs w:val="24"/>
        </w:rPr>
        <w:t xml:space="preserve">can create a bias from heterogeneous treatment. The second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reason </w:t>
      </w:r>
      <w:r w:rsidRPr="00732156">
        <w:rPr>
          <w:rFonts w:ascii="Times New Roman" w:hAnsi="Times New Roman" w:cs="Times New Roman"/>
          <w:sz w:val="24"/>
          <w:szCs w:val="24"/>
        </w:rPr>
        <w:t xml:space="preserve">is a practical </w:t>
      </w:r>
      <w:r w:rsidR="00434131" w:rsidRPr="00732156">
        <w:rPr>
          <w:rFonts w:ascii="Times New Roman" w:hAnsi="Times New Roman" w:cs="Times New Roman"/>
          <w:sz w:val="24"/>
          <w:szCs w:val="24"/>
        </w:rPr>
        <w:t>one</w:t>
      </w:r>
      <w:r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>European Environment Agency (EEA) and OECD provide us with data for almost all European countries</w:t>
      </w:r>
      <w:r w:rsidR="00434131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including various economic, social,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and </w:t>
      </w:r>
      <w:r w:rsidRPr="00732156">
        <w:rPr>
          <w:rFonts w:ascii="Times New Roman" w:hAnsi="Times New Roman" w:cs="Times New Roman"/>
          <w:sz w:val="24"/>
          <w:szCs w:val="24"/>
        </w:rPr>
        <w:t>policy indicators</w:t>
      </w:r>
      <w:r w:rsidR="00434131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as well as GHG emissions of all types. </w:t>
      </w:r>
    </w:p>
    <w:p w14:paraId="2AF18082" w14:textId="550EB71B" w:rsidR="00FE7AF6" w:rsidRPr="00732156" w:rsidRDefault="00FE7AF6" w:rsidP="00955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Our key dependent variable is decoupling. The extent of decoupling is mea</w:t>
      </w:r>
      <w:r w:rsidR="00AC0C47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>ured in this paper as emission intensity (kgCO</w:t>
      </w:r>
      <w:r w:rsidRPr="00732156">
        <w:rPr>
          <w:rFonts w:ascii="Times New Roman" w:hAnsi="Times New Roman" w:cs="Times New Roman"/>
          <w:sz w:val="24"/>
          <w:szCs w:val="24"/>
          <w:vertAlign w:val="subscript"/>
        </w:rPr>
        <w:t>2eq</w:t>
      </w:r>
      <w:r w:rsidRPr="00732156">
        <w:rPr>
          <w:rFonts w:ascii="Times New Roman" w:hAnsi="Times New Roman" w:cs="Times New Roman"/>
          <w:sz w:val="24"/>
          <w:szCs w:val="24"/>
        </w:rPr>
        <w:t xml:space="preserve"> per real GDP of $1,000, </w:t>
      </w:r>
      <w:r w:rsidR="00434131" w:rsidRPr="00732156">
        <w:rPr>
          <w:rFonts w:ascii="Times New Roman" w:hAnsi="Times New Roman" w:cs="Times New Roman"/>
          <w:sz w:val="24"/>
          <w:szCs w:val="24"/>
        </w:rPr>
        <w:t xml:space="preserve">US$ </w:t>
      </w:r>
      <w:r w:rsidRPr="00732156">
        <w:rPr>
          <w:rFonts w:ascii="Times New Roman" w:hAnsi="Times New Roman" w:cs="Times New Roman"/>
          <w:sz w:val="24"/>
          <w:szCs w:val="24"/>
        </w:rPr>
        <w:t>2010 constant)</w:t>
      </w:r>
      <w:r w:rsidR="00201C60" w:rsidRPr="00732156">
        <w:rPr>
          <w:rFonts w:ascii="Times New Roman" w:hAnsi="Times New Roman" w:cs="Times New Roman"/>
          <w:sz w:val="24"/>
          <w:szCs w:val="24"/>
        </w:rPr>
        <w:t xml:space="preserve"> shown in Table 1 and Figure 2</w:t>
      </w:r>
      <w:r w:rsidRPr="00732156">
        <w:rPr>
          <w:rFonts w:ascii="Times New Roman" w:hAnsi="Times New Roman" w:cs="Times New Roman"/>
          <w:sz w:val="24"/>
          <w:szCs w:val="24"/>
        </w:rPr>
        <w:t xml:space="preserve">. If ΔGDP &gt; ΔGHG in a given country in a given time, that is, if decoupling occurs,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 xml:space="preserve">emission intensity decreases. Therefore, a decrease in emission intensity is a proxy for decoupling. If the result indicates that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Pr="00732156">
        <w:rPr>
          <w:rFonts w:ascii="Times New Roman" w:hAnsi="Times New Roman" w:cs="Times New Roman"/>
          <w:sz w:val="24"/>
          <w:szCs w:val="24"/>
        </w:rPr>
        <w:t xml:space="preserve">one unit increase of a certain independent variable contributed to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Pr="00732156">
        <w:rPr>
          <w:rFonts w:ascii="Times New Roman" w:hAnsi="Times New Roman" w:cs="Times New Roman"/>
          <w:sz w:val="24"/>
          <w:szCs w:val="24"/>
        </w:rPr>
        <w:t xml:space="preserve">decrease in emission intensity,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said variable </w:t>
      </w:r>
      <w:r w:rsidRPr="00732156">
        <w:rPr>
          <w:rFonts w:ascii="Times New Roman" w:hAnsi="Times New Roman" w:cs="Times New Roman"/>
          <w:sz w:val="24"/>
          <w:szCs w:val="24"/>
        </w:rPr>
        <w:t xml:space="preserve">is considered to have facilitated decoupling. </w:t>
      </w:r>
    </w:p>
    <w:p w14:paraId="79889924" w14:textId="4F262A55" w:rsidR="003A65E9" w:rsidRPr="00732156" w:rsidRDefault="00FE7AF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Our key independent variable</w:t>
      </w:r>
      <w:r w:rsidR="006D7F3B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are </w:t>
      </w:r>
      <w:r w:rsidRPr="00732156">
        <w:rPr>
          <w:rFonts w:ascii="Times New Roman" w:hAnsi="Times New Roman" w:cs="Times New Roman"/>
          <w:sz w:val="24"/>
          <w:szCs w:val="24"/>
        </w:rPr>
        <w:t xml:space="preserve">the adoption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(0-1) and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Pr="00732156">
        <w:rPr>
          <w:rFonts w:ascii="Times New Roman" w:hAnsi="Times New Roman" w:cs="Times New Roman"/>
          <w:sz w:val="24"/>
          <w:szCs w:val="24"/>
        </w:rPr>
        <w:t xml:space="preserve"> (0-1). For both policy instruments, we coded 1 </w:t>
      </w:r>
      <w:r w:rsidR="006D7F3B" w:rsidRPr="00732156">
        <w:rPr>
          <w:rFonts w:ascii="Times New Roman" w:hAnsi="Times New Roman" w:cs="Times New Roman"/>
          <w:sz w:val="24"/>
          <w:szCs w:val="24"/>
        </w:rPr>
        <w:t>to represent that a</w:t>
      </w:r>
      <w:r w:rsidRPr="00732156">
        <w:rPr>
          <w:rFonts w:ascii="Times New Roman" w:hAnsi="Times New Roman" w:cs="Times New Roman"/>
          <w:sz w:val="24"/>
          <w:szCs w:val="24"/>
        </w:rPr>
        <w:t xml:space="preserve"> country in a given time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had </w:t>
      </w:r>
      <w:r w:rsidRPr="00732156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the venue, </w:t>
      </w:r>
      <w:r w:rsidRPr="00732156">
        <w:rPr>
          <w:rFonts w:ascii="Times New Roman" w:hAnsi="Times New Roman" w:cs="Times New Roman"/>
          <w:sz w:val="24"/>
          <w:szCs w:val="24"/>
        </w:rPr>
        <w:t xml:space="preserve">and 0 if </w:t>
      </w:r>
      <w:r w:rsidR="006D7F3B" w:rsidRPr="00732156">
        <w:rPr>
          <w:rFonts w:ascii="Times New Roman" w:hAnsi="Times New Roman" w:cs="Times New Roman"/>
          <w:sz w:val="24"/>
          <w:szCs w:val="24"/>
        </w:rPr>
        <w:t xml:space="preserve">it had </w:t>
      </w:r>
      <w:r w:rsidRPr="00732156">
        <w:rPr>
          <w:rFonts w:ascii="Times New Roman" w:hAnsi="Times New Roman" w:cs="Times New Roman"/>
          <w:sz w:val="24"/>
          <w:szCs w:val="24"/>
        </w:rPr>
        <w:t>no</w:t>
      </w:r>
      <w:r w:rsidR="008A2618" w:rsidRPr="00732156">
        <w:rPr>
          <w:rFonts w:ascii="Times New Roman" w:hAnsi="Times New Roman" w:cs="Times New Roman"/>
          <w:sz w:val="24"/>
          <w:szCs w:val="24"/>
        </w:rPr>
        <w:t xml:space="preserve">t. If </w:t>
      </w:r>
      <w:r w:rsidR="00317C34" w:rsidRPr="00732156">
        <w:rPr>
          <w:rFonts w:ascii="Times New Roman" w:hAnsi="Times New Roman" w:cs="Times New Roman"/>
          <w:sz w:val="24"/>
          <w:szCs w:val="24"/>
        </w:rPr>
        <w:t>each instr</w:t>
      </w:r>
      <w:r w:rsidR="00F839B7" w:rsidRPr="00732156">
        <w:rPr>
          <w:rFonts w:ascii="Times New Roman" w:hAnsi="Times New Roman" w:cs="Times New Roman"/>
          <w:sz w:val="24"/>
          <w:szCs w:val="24"/>
        </w:rPr>
        <w:t>u</w:t>
      </w:r>
      <w:r w:rsidR="00317C34" w:rsidRPr="00732156">
        <w:rPr>
          <w:rFonts w:ascii="Times New Roman" w:hAnsi="Times New Roman" w:cs="Times New Roman"/>
          <w:sz w:val="24"/>
          <w:szCs w:val="24"/>
        </w:rPr>
        <w:t>ment</w:t>
      </w:r>
      <w:r w:rsidR="00B0388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317C34" w:rsidRPr="00732156">
        <w:rPr>
          <w:rFonts w:ascii="Times New Roman" w:hAnsi="Times New Roman" w:cs="Times New Roman"/>
          <w:sz w:val="24"/>
          <w:szCs w:val="24"/>
        </w:rPr>
        <w:t>is</w:t>
      </w:r>
      <w:r w:rsidR="008A2618" w:rsidRPr="00732156">
        <w:rPr>
          <w:rFonts w:ascii="Times New Roman" w:hAnsi="Times New Roman" w:cs="Times New Roman"/>
          <w:sz w:val="24"/>
          <w:szCs w:val="24"/>
        </w:rPr>
        <w:t xml:space="preserve"> negatively associated with our dependent variable (emission intensity), it can be interpreted that </w:t>
      </w:r>
      <w:r w:rsidR="00317C34" w:rsidRPr="00732156">
        <w:rPr>
          <w:rFonts w:ascii="Times New Roman" w:hAnsi="Times New Roman" w:cs="Times New Roman"/>
          <w:sz w:val="24"/>
          <w:szCs w:val="24"/>
        </w:rPr>
        <w:t>each instrument</w:t>
      </w:r>
      <w:r w:rsidR="008A2618" w:rsidRPr="00732156">
        <w:rPr>
          <w:rFonts w:ascii="Times New Roman" w:hAnsi="Times New Roman" w:cs="Times New Roman"/>
          <w:sz w:val="24"/>
          <w:szCs w:val="24"/>
        </w:rPr>
        <w:t xml:space="preserve"> generally improve</w:t>
      </w:r>
      <w:r w:rsidR="00F839B7" w:rsidRPr="00732156">
        <w:rPr>
          <w:rFonts w:ascii="Times New Roman" w:hAnsi="Times New Roman" w:cs="Times New Roman"/>
          <w:sz w:val="24"/>
          <w:szCs w:val="24"/>
        </w:rPr>
        <w:t>s the</w:t>
      </w:r>
      <w:r w:rsidR="008A2618" w:rsidRPr="00732156">
        <w:rPr>
          <w:rFonts w:ascii="Times New Roman" w:hAnsi="Times New Roman" w:cs="Times New Roman"/>
          <w:sz w:val="24"/>
          <w:szCs w:val="24"/>
        </w:rPr>
        <w:t xml:space="preserve"> cost-efficiency of GHG reduction. Furthermore, to see if they also reduce the abso</w:t>
      </w:r>
      <w:r w:rsidR="00F839B7" w:rsidRPr="00732156">
        <w:rPr>
          <w:rFonts w:ascii="Times New Roman" w:hAnsi="Times New Roman" w:cs="Times New Roman"/>
          <w:sz w:val="24"/>
          <w:szCs w:val="24"/>
        </w:rPr>
        <w:t>l</w:t>
      </w:r>
      <w:r w:rsidR="008A2618" w:rsidRPr="00732156">
        <w:rPr>
          <w:rFonts w:ascii="Times New Roman" w:hAnsi="Times New Roman" w:cs="Times New Roman"/>
          <w:sz w:val="24"/>
          <w:szCs w:val="24"/>
        </w:rPr>
        <w:t>ute amount of GHG emissions, we use an additional dependent variable</w:t>
      </w:r>
      <w:r w:rsidR="006D7F3B" w:rsidRPr="00732156">
        <w:rPr>
          <w:rFonts w:ascii="Times New Roman" w:hAnsi="Times New Roman" w:cs="Times New Roman"/>
          <w:sz w:val="24"/>
          <w:szCs w:val="24"/>
        </w:rPr>
        <w:t>,</w:t>
      </w:r>
      <w:r w:rsidR="008A2618" w:rsidRPr="00732156">
        <w:rPr>
          <w:rFonts w:ascii="Times New Roman" w:hAnsi="Times New Roman" w:cs="Times New Roman"/>
          <w:sz w:val="24"/>
          <w:szCs w:val="24"/>
        </w:rPr>
        <w:t xml:space="preserve"> which is GHG emissions (million CO</w:t>
      </w:r>
      <w:r w:rsidR="008A2618" w:rsidRPr="00732156">
        <w:rPr>
          <w:rFonts w:ascii="Times New Roman" w:hAnsi="Times New Roman" w:cs="Times New Roman"/>
          <w:sz w:val="24"/>
          <w:szCs w:val="24"/>
          <w:vertAlign w:val="subscript"/>
        </w:rPr>
        <w:t>2eq</w:t>
      </w:r>
      <w:r w:rsidR="008A2618" w:rsidRPr="00732156">
        <w:rPr>
          <w:rFonts w:ascii="Times New Roman" w:hAnsi="Times New Roman" w:cs="Times New Roman"/>
          <w:sz w:val="24"/>
          <w:szCs w:val="24"/>
        </w:rPr>
        <w:t>)</w:t>
      </w:r>
      <w:r w:rsidR="00317C34" w:rsidRPr="00732156">
        <w:rPr>
          <w:rFonts w:ascii="Times New Roman" w:hAnsi="Times New Roman" w:cs="Times New Roman"/>
          <w:sz w:val="24"/>
          <w:szCs w:val="24"/>
        </w:rPr>
        <w:t>. If each instrument is negatively associated with both emission intensity and GHG emissions, it promotes strong decoupling. If it is negatively associated with only emission intensity, it pro</w:t>
      </w:r>
      <w:r w:rsidR="005C1618" w:rsidRPr="00732156">
        <w:rPr>
          <w:rFonts w:ascii="Times New Roman" w:hAnsi="Times New Roman" w:cs="Times New Roman"/>
          <w:sz w:val="24"/>
          <w:szCs w:val="24"/>
        </w:rPr>
        <w:t>m</w:t>
      </w:r>
      <w:r w:rsidR="00317C34" w:rsidRPr="00732156">
        <w:rPr>
          <w:rFonts w:ascii="Times New Roman" w:hAnsi="Times New Roman" w:cs="Times New Roman"/>
          <w:sz w:val="24"/>
          <w:szCs w:val="24"/>
        </w:rPr>
        <w:t xml:space="preserve">otes weak decoupling. </w:t>
      </w:r>
    </w:p>
    <w:p w14:paraId="713DDE6B" w14:textId="37E97A9B" w:rsidR="006D085E" w:rsidRPr="00732156" w:rsidRDefault="00AA25B9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Both Figure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3 and 4 plot the average emission intensity by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Pr="00732156">
        <w:rPr>
          <w:rFonts w:ascii="Times New Roman" w:hAnsi="Times New Roman" w:cs="Times New Roman"/>
          <w:sz w:val="24"/>
          <w:szCs w:val="24"/>
        </w:rPr>
        <w:t xml:space="preserve">country group with and without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and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A03137" w:rsidRPr="00732156">
        <w:rPr>
          <w:rFonts w:ascii="Times New Roman" w:hAnsi="Times New Roman" w:cs="Times New Roman"/>
          <w:sz w:val="24"/>
          <w:szCs w:val="24"/>
        </w:rPr>
        <w:t>, respectively</w:t>
      </w:r>
      <w:r w:rsidRPr="00732156">
        <w:rPr>
          <w:rFonts w:ascii="Times New Roman" w:hAnsi="Times New Roman" w:cs="Times New Roman"/>
          <w:sz w:val="24"/>
          <w:szCs w:val="24"/>
        </w:rPr>
        <w:t xml:space="preserve">. We also report the Tukey Honest Significant </w:t>
      </w: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Difference </w:t>
      </w:r>
      <w:r w:rsidR="00127C27" w:rsidRPr="00732156">
        <w:rPr>
          <w:rFonts w:ascii="Times New Roman" w:hAnsi="Times New Roman" w:cs="Times New Roman"/>
          <w:sz w:val="24"/>
          <w:szCs w:val="24"/>
        </w:rPr>
        <w:t>in Table 3</w:t>
      </w:r>
      <w:r w:rsidR="00A03137" w:rsidRPr="00732156">
        <w:rPr>
          <w:rFonts w:ascii="Times New Roman" w:hAnsi="Times New Roman" w:cs="Times New Roman"/>
          <w:sz w:val="24"/>
          <w:szCs w:val="24"/>
        </w:rPr>
        <w:t>,</w:t>
      </w:r>
      <w:r w:rsidR="003F6FAA" w:rsidRPr="00732156">
        <w:rPr>
          <w:rFonts w:ascii="Times New Roman" w:hAnsi="Times New Roman" w:cs="Times New Roman"/>
          <w:sz w:val="24"/>
          <w:szCs w:val="24"/>
        </w:rPr>
        <w:t xml:space="preserve"> which shows how different these two groups are in their mean emission intensity</w:t>
      </w:r>
      <w:r w:rsidR="00A03137" w:rsidRPr="00732156">
        <w:rPr>
          <w:rFonts w:ascii="Times New Roman" w:hAnsi="Times New Roman" w:cs="Times New Roman"/>
          <w:sz w:val="24"/>
          <w:szCs w:val="24"/>
        </w:rPr>
        <w:t>,</w:t>
      </w:r>
      <w:r w:rsidR="003F6FAA" w:rsidRPr="00732156">
        <w:rPr>
          <w:rFonts w:ascii="Times New Roman" w:hAnsi="Times New Roman" w:cs="Times New Roman"/>
          <w:sz w:val="24"/>
          <w:szCs w:val="24"/>
        </w:rPr>
        <w:t xml:space="preserve"> based on the result</w:t>
      </w:r>
      <w:r w:rsidR="00127C27" w:rsidRPr="00732156">
        <w:rPr>
          <w:rFonts w:ascii="Times New Roman" w:hAnsi="Times New Roman" w:cs="Times New Roman"/>
          <w:sz w:val="24"/>
          <w:szCs w:val="24"/>
        </w:rPr>
        <w:t>s</w:t>
      </w:r>
      <w:r w:rsidR="003F6FAA" w:rsidRPr="00732156">
        <w:rPr>
          <w:rFonts w:ascii="Times New Roman" w:hAnsi="Times New Roman" w:cs="Times New Roman"/>
          <w:sz w:val="24"/>
          <w:szCs w:val="24"/>
        </w:rPr>
        <w:t xml:space="preserve"> of one-way ANOVA test</w:t>
      </w:r>
      <w:r w:rsidR="00127C27" w:rsidRPr="00732156">
        <w:rPr>
          <w:rFonts w:ascii="Times New Roman" w:hAnsi="Times New Roman" w:cs="Times New Roman"/>
          <w:sz w:val="24"/>
          <w:szCs w:val="24"/>
        </w:rPr>
        <w:t>s</w:t>
      </w:r>
      <w:r w:rsidR="003F6FAA" w:rsidRPr="00732156">
        <w:rPr>
          <w:rFonts w:ascii="Times New Roman" w:hAnsi="Times New Roman" w:cs="Times New Roman"/>
          <w:sz w:val="24"/>
          <w:szCs w:val="24"/>
        </w:rPr>
        <w:t>.</w:t>
      </w:r>
      <w:r w:rsidR="003F6FAA" w:rsidRPr="00732156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3F6FAA" w:rsidRPr="00732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4D019" w14:textId="77777777" w:rsidR="007208C6" w:rsidRPr="00732156" w:rsidRDefault="007208C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0E1D0" w14:textId="7892212C" w:rsidR="007208C6" w:rsidRPr="00732156" w:rsidRDefault="007208C6" w:rsidP="00D025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Figure 3.</w:t>
      </w:r>
      <w:r w:rsidRPr="00732156">
        <w:rPr>
          <w:rFonts w:ascii="Times New Roman" w:hAnsi="Times New Roman" w:cs="Times New Roman"/>
          <w:sz w:val="24"/>
          <w:szCs w:val="24"/>
        </w:rPr>
        <w:t xml:space="preserve"> Boxplot of average emission intensity by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Pr="00732156">
        <w:rPr>
          <w:rFonts w:ascii="Times New Roman" w:hAnsi="Times New Roman" w:cs="Times New Roman"/>
          <w:sz w:val="24"/>
          <w:szCs w:val="24"/>
        </w:rPr>
        <w:t xml:space="preserve">country group with/without </w:t>
      </w:r>
      <w:r w:rsidR="008A32B1">
        <w:rPr>
          <w:rFonts w:ascii="Times New Roman" w:hAnsi="Times New Roman" w:cs="Times New Roman"/>
          <w:sz w:val="24"/>
          <w:szCs w:val="24"/>
        </w:rPr>
        <w:t>emission trading scheme (</w:t>
      </w:r>
      <w:r w:rsidRPr="00732156">
        <w:rPr>
          <w:rFonts w:ascii="Times New Roman" w:hAnsi="Times New Roman" w:cs="Times New Roman"/>
          <w:sz w:val="24"/>
          <w:szCs w:val="24"/>
        </w:rPr>
        <w:t>ETS</w:t>
      </w:r>
      <w:r w:rsidR="008A32B1">
        <w:rPr>
          <w:rFonts w:ascii="Times New Roman" w:hAnsi="Times New Roman" w:cs="Times New Roman"/>
          <w:sz w:val="24"/>
          <w:szCs w:val="24"/>
        </w:rPr>
        <w:t>)</w:t>
      </w:r>
    </w:p>
    <w:p w14:paraId="533AAE27" w14:textId="288AD6E4" w:rsidR="007208C6" w:rsidRPr="00732156" w:rsidRDefault="007208C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BE100E7" wp14:editId="55BCF67E">
            <wp:extent cx="5695950" cy="328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48" cy="33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9CF9" w14:textId="77777777" w:rsidR="003F6FAA" w:rsidRPr="00732156" w:rsidRDefault="003F6FAA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43253" w14:textId="60B4668B" w:rsidR="007208C6" w:rsidRPr="00732156" w:rsidRDefault="007208C6" w:rsidP="00BA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Figure 4. Boxplot</w:t>
      </w:r>
      <w:r w:rsidRPr="00732156">
        <w:rPr>
          <w:rFonts w:ascii="Times New Roman" w:hAnsi="Times New Roman" w:cs="Times New Roman"/>
          <w:sz w:val="24"/>
          <w:szCs w:val="24"/>
        </w:rPr>
        <w:t xml:space="preserve"> of average emission intensity by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Pr="00732156">
        <w:rPr>
          <w:rFonts w:ascii="Times New Roman" w:hAnsi="Times New Roman" w:cs="Times New Roman"/>
          <w:sz w:val="24"/>
          <w:szCs w:val="24"/>
        </w:rPr>
        <w:t>country group with/without carbon tax</w:t>
      </w:r>
    </w:p>
    <w:p w14:paraId="1FD0D46F" w14:textId="3D4674B6" w:rsidR="007208C6" w:rsidRPr="00732156" w:rsidRDefault="007208C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43DE0081" wp14:editId="212B0D2C">
            <wp:extent cx="5731510" cy="3260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C5B1" w14:textId="77777777" w:rsidR="007208C6" w:rsidRPr="00732156" w:rsidRDefault="007208C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D6767" w14:textId="77777777" w:rsidR="007208C6" w:rsidRPr="00732156" w:rsidRDefault="007208C6" w:rsidP="00FE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DD023" w14:textId="13063F15" w:rsidR="007208C6" w:rsidRPr="00732156" w:rsidRDefault="007208C6" w:rsidP="00BA3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Table 3.</w:t>
      </w:r>
      <w:r w:rsidRPr="00732156">
        <w:rPr>
          <w:rFonts w:ascii="Times New Roman" w:hAnsi="Times New Roman" w:cs="Times New Roman"/>
          <w:sz w:val="24"/>
          <w:szCs w:val="24"/>
        </w:rPr>
        <w:t xml:space="preserve"> Tukey Honest Significant </w:t>
      </w:r>
      <w:r w:rsidR="003F6FAA" w:rsidRPr="00732156">
        <w:rPr>
          <w:rFonts w:ascii="Times New Roman" w:hAnsi="Times New Roman" w:cs="Times New Roman"/>
          <w:sz w:val="24"/>
          <w:szCs w:val="24"/>
        </w:rPr>
        <w:t>Difference Test</w:t>
      </w:r>
      <w:r w:rsidR="00ED7B8F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3F6FAA" w:rsidRPr="00732156">
        <w:rPr>
          <w:rFonts w:ascii="Times New Roman" w:hAnsi="Times New Roman" w:cs="Times New Roman"/>
          <w:sz w:val="24"/>
          <w:szCs w:val="24"/>
        </w:rPr>
        <w:t xml:space="preserve">of </w:t>
      </w:r>
      <w:r w:rsidR="00ED7B8F" w:rsidRPr="00732156">
        <w:rPr>
          <w:rFonts w:ascii="Times New Roman" w:hAnsi="Times New Roman" w:cs="Times New Roman"/>
          <w:sz w:val="24"/>
          <w:szCs w:val="24"/>
        </w:rPr>
        <w:t>emission intensity</w:t>
      </w:r>
      <w:r w:rsidR="00BA3A2C" w:rsidRPr="00732156">
        <w:rPr>
          <w:rFonts w:ascii="Times New Roman" w:hAnsi="Times New Roman" w:cs="Times New Roman"/>
          <w:sz w:val="24"/>
          <w:szCs w:val="24"/>
        </w:rPr>
        <w:t xml:space="preserve"> by country 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2970"/>
        <w:gridCol w:w="2901"/>
      </w:tblGrid>
      <w:tr w:rsidR="00ED7B8F" w:rsidRPr="00732156" w14:paraId="5D9D5476" w14:textId="77777777" w:rsidTr="00BA3A2C">
        <w:tc>
          <w:tcPr>
            <w:tcW w:w="3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C01863" w14:textId="4E6C4257" w:rsidR="00ED7B8F" w:rsidRPr="00732156" w:rsidRDefault="00ED7B8F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46F72" w14:textId="5B260080" w:rsidR="00ED7B8F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  <w:tc>
          <w:tcPr>
            <w:tcW w:w="29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E44E50" w14:textId="44C5584E" w:rsidR="00ED7B8F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Adjusted p-value</w:t>
            </w:r>
          </w:p>
        </w:tc>
      </w:tr>
      <w:tr w:rsidR="00ED7B8F" w:rsidRPr="00732156" w14:paraId="32252B10" w14:textId="77777777" w:rsidTr="00BA3A2C">
        <w:tc>
          <w:tcPr>
            <w:tcW w:w="3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E2761" w14:textId="175B3758" w:rsidR="00ED7B8F" w:rsidRPr="00732156" w:rsidRDefault="00ED7B8F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No ETS group – ETS group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7723A0" w14:textId="564F3E10" w:rsidR="00BA3A2C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124.606</w:t>
            </w:r>
          </w:p>
          <w:p w14:paraId="54F99F63" w14:textId="55FC978F" w:rsidR="00BA3A2C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[66.105,  183.107]</w:t>
            </w:r>
          </w:p>
        </w:tc>
        <w:tc>
          <w:tcPr>
            <w:tcW w:w="29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646938" w14:textId="53743DFC" w:rsidR="00ED7B8F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D7B8F" w:rsidRPr="00732156" w14:paraId="090EA6EE" w14:textId="77777777" w:rsidTr="00BA3A2C">
        <w:tc>
          <w:tcPr>
            <w:tcW w:w="3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51FCB" w14:textId="3DED6AB2" w:rsidR="00ED7B8F" w:rsidRPr="00732156" w:rsidRDefault="00ED7B8F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No Tax group – Tax Group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36DD87" w14:textId="77777777" w:rsidR="00BA3A2C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80.893</w:t>
            </w:r>
          </w:p>
          <w:p w14:paraId="0721818C" w14:textId="771AB0C6" w:rsidR="00BA3A2C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[15.159,  146.627]</w:t>
            </w:r>
          </w:p>
        </w:tc>
        <w:tc>
          <w:tcPr>
            <w:tcW w:w="29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738052" w14:textId="4BC096AF" w:rsidR="00ED7B8F" w:rsidRPr="00732156" w:rsidRDefault="00BA3A2C" w:rsidP="00BA3A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0.0156</w:t>
            </w:r>
          </w:p>
        </w:tc>
      </w:tr>
    </w:tbl>
    <w:p w14:paraId="19A53E99" w14:textId="5B863BD9" w:rsidR="00ED7B8F" w:rsidRPr="00732156" w:rsidRDefault="00BA3A2C" w:rsidP="00FE7AF6">
      <w:pPr>
        <w:spacing w:line="360" w:lineRule="auto"/>
        <w:rPr>
          <w:rFonts w:ascii="Times New Roman" w:hAnsi="Times New Roman" w:cs="Times New Roman"/>
          <w:sz w:val="21"/>
        </w:rPr>
        <w:sectPr w:rsidR="00ED7B8F" w:rsidRPr="00732156" w:rsidSect="00842B8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32156">
        <w:rPr>
          <w:rFonts w:ascii="Times New Roman" w:hAnsi="Times New Roman" w:cs="Times New Roman"/>
          <w:i/>
          <w:sz w:val="21"/>
        </w:rPr>
        <w:t>Note</w:t>
      </w:r>
      <w:r w:rsidRPr="00732156">
        <w:rPr>
          <w:rFonts w:ascii="Times New Roman" w:hAnsi="Times New Roman" w:cs="Times New Roman"/>
          <w:sz w:val="21"/>
        </w:rPr>
        <w:t xml:space="preserve">. Numbers in brackets </w:t>
      </w:r>
      <w:r w:rsidR="00054748" w:rsidRPr="00732156">
        <w:rPr>
          <w:rFonts w:ascii="Times New Roman" w:hAnsi="Times New Roman" w:cs="Times New Roman"/>
          <w:sz w:val="21"/>
        </w:rPr>
        <w:t>indicate</w:t>
      </w:r>
      <w:r w:rsidR="00F839B7" w:rsidRPr="00732156">
        <w:rPr>
          <w:rFonts w:ascii="Times New Roman" w:hAnsi="Times New Roman" w:cs="Times New Roman"/>
          <w:sz w:val="21"/>
        </w:rPr>
        <w:t xml:space="preserve"> a</w:t>
      </w:r>
      <w:r w:rsidRPr="00732156">
        <w:rPr>
          <w:rFonts w:ascii="Times New Roman" w:hAnsi="Times New Roman" w:cs="Times New Roman"/>
          <w:sz w:val="21"/>
        </w:rPr>
        <w:t xml:space="preserve"> 95% confidence interval</w:t>
      </w:r>
      <w:r w:rsidR="00792720" w:rsidRPr="00732156">
        <w:rPr>
          <w:rFonts w:ascii="Times New Roman" w:hAnsi="Times New Roman" w:cs="Times New Roman"/>
          <w:sz w:val="21"/>
        </w:rPr>
        <w:t>. The difference is calculated by the average emission intensity of</w:t>
      </w:r>
      <w:r w:rsidR="00A03137" w:rsidRPr="00732156">
        <w:rPr>
          <w:rFonts w:ascii="Times New Roman" w:hAnsi="Times New Roman" w:cs="Times New Roman"/>
          <w:sz w:val="21"/>
        </w:rPr>
        <w:t xml:space="preserve"> the</w:t>
      </w:r>
      <w:r w:rsidR="00792720" w:rsidRPr="00732156">
        <w:rPr>
          <w:rFonts w:ascii="Times New Roman" w:hAnsi="Times New Roman" w:cs="Times New Roman"/>
          <w:sz w:val="21"/>
        </w:rPr>
        <w:t xml:space="preserve"> no ETS/tax group </w:t>
      </w:r>
      <w:r w:rsidR="00792720" w:rsidRPr="00732156">
        <w:rPr>
          <w:rFonts w:ascii="Times New Roman" w:hAnsi="Times New Roman" w:cs="Times New Roman"/>
          <w:i/>
          <w:sz w:val="21"/>
        </w:rPr>
        <w:t>minus</w:t>
      </w:r>
      <w:r w:rsidR="00792720" w:rsidRPr="00732156">
        <w:rPr>
          <w:rFonts w:ascii="Times New Roman" w:hAnsi="Times New Roman" w:cs="Times New Roman"/>
          <w:sz w:val="21"/>
        </w:rPr>
        <w:t xml:space="preserve"> the average emission intensity of </w:t>
      </w:r>
      <w:r w:rsidR="00F839B7" w:rsidRPr="00732156">
        <w:rPr>
          <w:rFonts w:ascii="Times New Roman" w:hAnsi="Times New Roman" w:cs="Times New Roman"/>
          <w:sz w:val="21"/>
        </w:rPr>
        <w:t xml:space="preserve">the </w:t>
      </w:r>
      <w:r w:rsidR="00792720" w:rsidRPr="00732156">
        <w:rPr>
          <w:rFonts w:ascii="Times New Roman" w:hAnsi="Times New Roman" w:cs="Times New Roman"/>
          <w:sz w:val="21"/>
        </w:rPr>
        <w:t xml:space="preserve">ETS/tax group. </w:t>
      </w:r>
    </w:p>
    <w:p w14:paraId="17D40FA9" w14:textId="1AAD21ED" w:rsidR="00317C34" w:rsidRPr="00732156" w:rsidRDefault="00317C34" w:rsidP="00BA3A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32156">
        <w:rPr>
          <w:rFonts w:ascii="Times New Roman" w:hAnsi="Times New Roman" w:cs="Times New Roman"/>
          <w:bCs/>
          <w:sz w:val="24"/>
        </w:rPr>
        <w:lastRenderedPageBreak/>
        <w:t xml:space="preserve">Table </w:t>
      </w:r>
      <w:r w:rsidR="007208C6" w:rsidRPr="00732156">
        <w:rPr>
          <w:rFonts w:ascii="Times New Roman" w:hAnsi="Times New Roman" w:cs="Times New Roman"/>
          <w:bCs/>
          <w:sz w:val="24"/>
        </w:rPr>
        <w:t>4</w:t>
      </w:r>
      <w:r w:rsidRPr="00732156">
        <w:rPr>
          <w:rFonts w:ascii="Times New Roman" w:hAnsi="Times New Roman" w:cs="Times New Roman"/>
          <w:bCs/>
          <w:sz w:val="24"/>
        </w:rPr>
        <w:t>.</w:t>
      </w:r>
      <w:r w:rsidRPr="00732156">
        <w:rPr>
          <w:rFonts w:ascii="Times New Roman" w:hAnsi="Times New Roman" w:cs="Times New Roman"/>
          <w:b/>
          <w:sz w:val="24"/>
        </w:rPr>
        <w:t xml:space="preserve"> </w:t>
      </w:r>
      <w:r w:rsidRPr="00732156">
        <w:rPr>
          <w:rFonts w:ascii="Times New Roman" w:hAnsi="Times New Roman" w:cs="Times New Roman"/>
          <w:sz w:val="24"/>
        </w:rPr>
        <w:t>Descriptive statistics</w:t>
      </w:r>
    </w:p>
    <w:tbl>
      <w:tblPr>
        <w:tblStyle w:val="a7"/>
        <w:tblW w:w="8986" w:type="dxa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549"/>
        <w:gridCol w:w="2423"/>
        <w:gridCol w:w="926"/>
        <w:gridCol w:w="1027"/>
        <w:gridCol w:w="1905"/>
        <w:gridCol w:w="1156"/>
      </w:tblGrid>
      <w:tr w:rsidR="00AA6CAE" w:rsidRPr="00732156" w14:paraId="070B9A2F" w14:textId="77777777" w:rsidTr="00BA3A2C">
        <w:trPr>
          <w:trHeight w:val="388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699691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C22028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584C17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6BD29D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17BBD15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(Min, Max)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11A59E" w14:textId="77777777" w:rsidR="00317C34" w:rsidRPr="00732156" w:rsidRDefault="00317C34" w:rsidP="00BA3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2156">
              <w:rPr>
                <w:rFonts w:ascii="Times New Roman" w:hAnsi="Times New Roman" w:cs="Times New Roman"/>
                <w:b/>
              </w:rPr>
              <w:t>Source</w:t>
            </w:r>
          </w:p>
        </w:tc>
      </w:tr>
      <w:tr w:rsidR="00317C34" w:rsidRPr="00732156" w14:paraId="5EB75E3D" w14:textId="77777777" w:rsidTr="00BA3A2C">
        <w:trPr>
          <w:trHeight w:val="404"/>
        </w:trPr>
        <w:tc>
          <w:tcPr>
            <w:tcW w:w="8986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26B33F" w14:textId="77777777" w:rsidR="00317C34" w:rsidRPr="00732156" w:rsidRDefault="00317C34" w:rsidP="00BA3A2C">
            <w:pPr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732156">
              <w:rPr>
                <w:rFonts w:ascii="Times New Roman" w:hAnsi="Times New Roman" w:cs="Times New Roman"/>
                <w:b/>
                <w:i/>
              </w:rPr>
              <w:t>Dependent Variables</w:t>
            </w:r>
          </w:p>
        </w:tc>
      </w:tr>
      <w:tr w:rsidR="00AA6CAE" w:rsidRPr="00732156" w14:paraId="4F6C15D2" w14:textId="77777777" w:rsidTr="00BA3A2C">
        <w:trPr>
          <w:trHeight w:val="31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728A5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Emission Intensity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F1DA8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kgCO</w:t>
            </w:r>
            <w:r w:rsidRPr="00732156">
              <w:rPr>
                <w:rFonts w:ascii="Times New Roman" w:hAnsi="Times New Roman" w:cs="Times New Roman"/>
                <w:vertAlign w:val="subscript"/>
              </w:rPr>
              <w:t>2eq</w:t>
            </w:r>
            <w:r w:rsidRPr="00732156">
              <w:rPr>
                <w:rFonts w:ascii="Times New Roman" w:hAnsi="Times New Roman" w:cs="Times New Roman"/>
              </w:rPr>
              <w:t xml:space="preserve"> / $1,000 of Real GDP (USD 2010 constant)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B17619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499.67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0C5C2D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359.86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38DB94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(85.52, 2327.52)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4C7D34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EEA</w:t>
            </w:r>
            <w:r w:rsidRPr="00732156">
              <w:rPr>
                <w:rStyle w:val="a9"/>
                <w:rFonts w:ascii="Times New Roman" w:hAnsi="Times New Roman" w:cs="Times New Roman"/>
              </w:rPr>
              <w:footnoteReference w:id="2"/>
            </w:r>
          </w:p>
        </w:tc>
      </w:tr>
      <w:tr w:rsidR="00AA6CAE" w:rsidRPr="00732156" w14:paraId="29C2E577" w14:textId="77777777" w:rsidTr="00BA3A2C">
        <w:trPr>
          <w:trHeight w:val="31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E02A4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GHG Emissions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80FE3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Million tCO</w:t>
            </w:r>
            <w:r w:rsidRPr="00732156">
              <w:rPr>
                <w:rFonts w:ascii="Times New Roman" w:hAnsi="Times New Roman" w:cs="Times New Roman"/>
                <w:vertAlign w:val="subscript"/>
              </w:rPr>
              <w:t>2eq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566E27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186.20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CCA8AE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239.47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70053D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(3.64, 1154.42)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85A976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  <w:r w:rsidRPr="00732156">
              <w:rPr>
                <w:rStyle w:val="a9"/>
                <w:rFonts w:ascii="Times New Roman" w:hAnsi="Times New Roman" w:cs="Times New Roman"/>
              </w:rPr>
              <w:footnoteReference w:id="3"/>
            </w:r>
          </w:p>
        </w:tc>
      </w:tr>
      <w:tr w:rsidR="00317C34" w:rsidRPr="00732156" w14:paraId="0A295105" w14:textId="77777777" w:rsidTr="00BA3A2C">
        <w:trPr>
          <w:trHeight w:val="539"/>
        </w:trPr>
        <w:tc>
          <w:tcPr>
            <w:tcW w:w="8986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E9D8A7" w14:textId="6288242D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732156">
              <w:rPr>
                <w:rFonts w:ascii="Times New Roman" w:hAnsi="Times New Roman" w:cs="Times New Roman"/>
                <w:b/>
                <w:i/>
              </w:rPr>
              <w:t>Independent Variables</w:t>
            </w:r>
          </w:p>
        </w:tc>
      </w:tr>
      <w:tr w:rsidR="00AA6CAE" w:rsidRPr="00732156" w14:paraId="6A50E711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15D1D4" w14:textId="47B2EDBD" w:rsidR="00317C34" w:rsidRPr="00732156" w:rsidRDefault="008A32B1" w:rsidP="005C16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Emission Trading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1FA7E0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 xml:space="preserve">1=implementation, </w:t>
            </w:r>
          </w:p>
          <w:p w14:paraId="177831F1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0=no implementation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09DCC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.47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2A49A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818DC6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28B913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EEA</w:t>
            </w:r>
          </w:p>
        </w:tc>
      </w:tr>
      <w:tr w:rsidR="00AA6CAE" w:rsidRPr="00732156" w14:paraId="463EBEBC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BD56DC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Carbon Tax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BA0E0A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 xml:space="preserve">1=implementation, </w:t>
            </w:r>
          </w:p>
          <w:p w14:paraId="6AB9607C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0=no implementation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B7607E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.28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DADBE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F4869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(0, 1)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89BDAF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carbontax. org</w:t>
            </w:r>
          </w:p>
        </w:tc>
      </w:tr>
      <w:tr w:rsidR="00317C34" w:rsidRPr="00732156" w14:paraId="4DCD90B6" w14:textId="77777777" w:rsidTr="00BA3A2C">
        <w:trPr>
          <w:trHeight w:val="458"/>
        </w:trPr>
        <w:tc>
          <w:tcPr>
            <w:tcW w:w="8986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281C2B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732156">
              <w:rPr>
                <w:rFonts w:ascii="Times New Roman" w:hAnsi="Times New Roman" w:cs="Times New Roman"/>
                <w:b/>
                <w:i/>
              </w:rPr>
              <w:t>Control Variables</w:t>
            </w:r>
          </w:p>
        </w:tc>
      </w:tr>
      <w:tr w:rsidR="00AA6CAE" w:rsidRPr="00732156" w14:paraId="144B072D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56FF4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Carbon Intensity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14DBAD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kgCO</w:t>
            </w:r>
            <w:r w:rsidRPr="00732156">
              <w:rPr>
                <w:rFonts w:ascii="Times New Roman" w:hAnsi="Times New Roman" w:cs="Times New Roman"/>
                <w:vertAlign w:val="subscript"/>
              </w:rPr>
              <w:t>2</w:t>
            </w:r>
            <w:r w:rsidRPr="00732156">
              <w:rPr>
                <w:rFonts w:ascii="Times New Roman" w:hAnsi="Times New Roman" w:cs="Times New Roman"/>
              </w:rPr>
              <w:t xml:space="preserve"> per kg of oil equivalent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3C553D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2.23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ED363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.65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2048B8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(.3, 3.44)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286D2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1262DDE3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5EF782" w14:textId="27C168E4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Electric</w:t>
            </w:r>
            <w:r w:rsidR="00F839B7" w:rsidRPr="00732156">
              <w:rPr>
                <w:rFonts w:ascii="Times New Roman" w:hAnsi="Times New Roman" w:cs="Times New Roman"/>
              </w:rPr>
              <w:t>ity</w:t>
            </w:r>
            <w:r w:rsidRPr="00732156">
              <w:rPr>
                <w:rFonts w:ascii="Times New Roman" w:hAnsi="Times New Roman" w:cs="Times New Roman"/>
              </w:rPr>
              <w:t xml:space="preserve"> </w:t>
            </w:r>
            <w:r w:rsidR="00315EFC" w:rsidRPr="00732156">
              <w:rPr>
                <w:rFonts w:ascii="Times New Roman" w:hAnsi="Times New Roman" w:cs="Times New Roman"/>
              </w:rPr>
              <w:t>Ine</w:t>
            </w:r>
            <w:r w:rsidRPr="00732156">
              <w:rPr>
                <w:rFonts w:ascii="Times New Roman" w:hAnsi="Times New Roman" w:cs="Times New Roman"/>
              </w:rPr>
              <w:t>fficiency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49E581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 xml:space="preserve">A loss of electric power output in the transmission and distribution (%) 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F6774E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8.32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4BC552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4.51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DDE0C3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(1.82, 46.58)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0469FD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5A8C673C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E7122C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Renewable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B1117A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A percentage of renewable energy in final energy consumption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F859F2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18.12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9F96F2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15.83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6E8978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(.85, 77.35)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CAC58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12466FC4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15CA3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Fossil Fuel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2BAC03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A percentage of fossil fuel energy in final energy consumption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72BDEB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71.78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C9726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20.13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6F37D1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(10.26, 98.53)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BD0A70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3217DDFB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3A6D2C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Urbanization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7B08F3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 xml:space="preserve">A ratio of urban population to total population (%) 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133590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71.30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FA7C47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11.32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7E74A7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(49.66, 97.82)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4E18BD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1315A7C0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BBF6C" w14:textId="77777777" w:rsidR="00317C34" w:rsidRPr="00732156" w:rsidRDefault="00317C34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GDP Growth Rate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DB78E3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Real GDP growth rate (%)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B97076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1C2A19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3.54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87C2A4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(-14.81, 11.89)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430B4E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WDI</w:t>
            </w:r>
          </w:p>
        </w:tc>
      </w:tr>
      <w:tr w:rsidR="00AA6CAE" w:rsidRPr="00732156" w14:paraId="6ACB539D" w14:textId="77777777" w:rsidTr="00BA3A2C">
        <w:trPr>
          <w:trHeight w:val="395"/>
        </w:trPr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D12041" w14:textId="31AEED52" w:rsidR="00317C34" w:rsidRPr="00732156" w:rsidRDefault="00AA6CAE" w:rsidP="005C1618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 xml:space="preserve">The Level of Democracy </w:t>
            </w:r>
          </w:p>
        </w:tc>
        <w:tc>
          <w:tcPr>
            <w:tcW w:w="24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3D99" w14:textId="77777777" w:rsidR="00317C34" w:rsidRPr="00732156" w:rsidRDefault="00317C34" w:rsidP="00317C34">
            <w:pPr>
              <w:jc w:val="left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Polity IV score</w:t>
            </w:r>
          </w:p>
        </w:tc>
        <w:tc>
          <w:tcPr>
            <w:tcW w:w="9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7AE434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9.44</w:t>
            </w:r>
          </w:p>
        </w:tc>
        <w:tc>
          <w:tcPr>
            <w:tcW w:w="10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91A5FC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19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99A191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(-5, 10)</w:t>
            </w:r>
          </w:p>
        </w:tc>
        <w:tc>
          <w:tcPr>
            <w:tcW w:w="11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D81C87" w14:textId="77777777" w:rsidR="00317C34" w:rsidRPr="00732156" w:rsidRDefault="00317C34" w:rsidP="00317C34">
            <w:pPr>
              <w:jc w:val="center"/>
              <w:rPr>
                <w:rFonts w:ascii="Times New Roman" w:hAnsi="Times New Roman" w:cs="Times New Roman"/>
              </w:rPr>
            </w:pPr>
            <w:r w:rsidRPr="00732156">
              <w:rPr>
                <w:rFonts w:ascii="Times New Roman" w:hAnsi="Times New Roman" w:cs="Times New Roman"/>
              </w:rPr>
              <w:t>Polity IV</w:t>
            </w:r>
          </w:p>
        </w:tc>
      </w:tr>
    </w:tbl>
    <w:p w14:paraId="41B2C0FC" w14:textId="1A2CB92A" w:rsidR="003A65E9" w:rsidRPr="00732156" w:rsidRDefault="00127C27" w:rsidP="00F6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627BA" w:rsidRPr="00732156">
        <w:rPr>
          <w:rFonts w:ascii="Times New Roman" w:hAnsi="Times New Roman" w:cs="Times New Roman"/>
          <w:b/>
          <w:sz w:val="24"/>
          <w:szCs w:val="24"/>
        </w:rPr>
        <w:t>Table 4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 presents the descriptive statistics of the panel data. 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To </w:t>
      </w:r>
      <w:r w:rsidR="00657634" w:rsidRPr="00732156">
        <w:rPr>
          <w:rFonts w:ascii="Times New Roman" w:hAnsi="Times New Roman" w:cs="Times New Roman"/>
          <w:sz w:val="24"/>
          <w:szCs w:val="24"/>
        </w:rPr>
        <w:t>elicit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the effect of carbon pricing</w:t>
      </w:r>
      <w:r w:rsidR="00657634" w:rsidRPr="00732156">
        <w:rPr>
          <w:rFonts w:ascii="Times New Roman" w:hAnsi="Times New Roman" w:cs="Times New Roman"/>
          <w:sz w:val="24"/>
          <w:szCs w:val="24"/>
        </w:rPr>
        <w:t xml:space="preserve"> in our analysis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as much as possible, we included several control variables that may also affect decoupling. First, energy and electricity efficiency can promote decoupling (Dinda 2004). Therefore, we used carbon intensity and electric</w:t>
      </w:r>
      <w:r w:rsidR="00F839B7" w:rsidRPr="00732156">
        <w:rPr>
          <w:rFonts w:ascii="Times New Roman" w:hAnsi="Times New Roman" w:cs="Times New Roman"/>
          <w:sz w:val="24"/>
          <w:szCs w:val="24"/>
        </w:rPr>
        <w:t>ity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inefficiency as control variables. Carbon intensity refers to the capacity </w:t>
      </w:r>
      <w:r w:rsidR="00A03137" w:rsidRPr="00732156">
        <w:rPr>
          <w:rFonts w:ascii="Times New Roman" w:hAnsi="Times New Roman" w:cs="Times New Roman"/>
          <w:sz w:val="24"/>
          <w:szCs w:val="24"/>
        </w:rPr>
        <w:t>of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a society </w:t>
      </w:r>
      <w:r w:rsidR="00A03137" w:rsidRPr="00732156">
        <w:rPr>
          <w:rFonts w:ascii="Times New Roman" w:hAnsi="Times New Roman" w:cs="Times New Roman"/>
          <w:sz w:val="24"/>
          <w:szCs w:val="24"/>
        </w:rPr>
        <w:t xml:space="preserve">to </w:t>
      </w:r>
      <w:r w:rsidR="003A65E9" w:rsidRPr="00732156">
        <w:rPr>
          <w:rFonts w:ascii="Times New Roman" w:hAnsi="Times New Roman" w:cs="Times New Roman"/>
          <w:sz w:val="24"/>
          <w:szCs w:val="24"/>
        </w:rPr>
        <w:t>produce less GHG emission</w:t>
      </w:r>
      <w:r w:rsidR="00A03137" w:rsidRPr="00732156">
        <w:rPr>
          <w:rFonts w:ascii="Times New Roman" w:hAnsi="Times New Roman" w:cs="Times New Roman"/>
          <w:sz w:val="24"/>
          <w:szCs w:val="24"/>
        </w:rPr>
        <w:t>s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for a unit of energy use, calculated as kgCO</w:t>
      </w:r>
      <w:r w:rsidR="003A65E9" w:rsidRPr="00732156">
        <w:rPr>
          <w:rFonts w:ascii="Times New Roman" w:hAnsi="Times New Roman" w:cs="Times New Roman"/>
          <w:sz w:val="24"/>
          <w:szCs w:val="24"/>
          <w:vertAlign w:val="subscript"/>
        </w:rPr>
        <w:t>2eq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per kg oil equivalent. Electric</w:t>
      </w:r>
      <w:r w:rsidR="00F839B7" w:rsidRPr="00732156">
        <w:rPr>
          <w:rFonts w:ascii="Times New Roman" w:hAnsi="Times New Roman" w:cs="Times New Roman"/>
          <w:sz w:val="24"/>
          <w:szCs w:val="24"/>
        </w:rPr>
        <w:t>ity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inefficiency </w:t>
      </w:r>
      <w:r w:rsidR="00A03137" w:rsidRPr="00732156">
        <w:rPr>
          <w:rFonts w:ascii="Times New Roman" w:hAnsi="Times New Roman" w:cs="Times New Roman"/>
          <w:sz w:val="24"/>
          <w:szCs w:val="24"/>
        </w:rPr>
        <w:t xml:space="preserve">refers to </w:t>
      </w:r>
      <w:r w:rsidR="003A65E9" w:rsidRPr="00732156">
        <w:rPr>
          <w:rFonts w:ascii="Times New Roman" w:hAnsi="Times New Roman" w:cs="Times New Roman"/>
          <w:sz w:val="24"/>
          <w:szCs w:val="24"/>
        </w:rPr>
        <w:t>a loss of electric power in the process of its transmission and distribution, compared to the initial output (%). Next, decoupling can vary according to how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national energy mix is shaped</w:t>
      </w:r>
      <w:r w:rsidR="00507F02" w:rsidRPr="00732156">
        <w:rPr>
          <w:rFonts w:ascii="Times New Roman" w:hAnsi="Times New Roman" w:cs="Times New Roman"/>
          <w:sz w:val="24"/>
          <w:szCs w:val="24"/>
        </w:rPr>
        <w:t xml:space="preserve"> (Harris 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and </w:t>
      </w:r>
      <w:r w:rsidR="00507F02" w:rsidRPr="00732156">
        <w:rPr>
          <w:rFonts w:ascii="Times New Roman" w:hAnsi="Times New Roman" w:cs="Times New Roman"/>
          <w:sz w:val="24"/>
          <w:szCs w:val="24"/>
        </w:rPr>
        <w:t>Lee 2017)</w:t>
      </w:r>
      <w:r w:rsidR="003A65E9" w:rsidRPr="00732156">
        <w:rPr>
          <w:rFonts w:ascii="Times New Roman" w:hAnsi="Times New Roman" w:cs="Times New Roman"/>
          <w:sz w:val="24"/>
          <w:szCs w:val="24"/>
        </w:rPr>
        <w:t>. Therefore, we also included the share</w:t>
      </w:r>
      <w:r w:rsidR="00A03137" w:rsidRPr="00732156">
        <w:rPr>
          <w:rFonts w:ascii="Times New Roman" w:hAnsi="Times New Roman" w:cs="Times New Roman"/>
          <w:sz w:val="24"/>
          <w:szCs w:val="24"/>
        </w:rPr>
        <w:t>s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of renew</w:t>
      </w:r>
      <w:r w:rsidR="00F839B7" w:rsidRPr="00732156">
        <w:rPr>
          <w:rFonts w:ascii="Times New Roman" w:hAnsi="Times New Roman" w:cs="Times New Roman"/>
          <w:sz w:val="24"/>
          <w:szCs w:val="24"/>
        </w:rPr>
        <w:t>a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ble energy (%) and fossil fuel (%) in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national primary energy mix. </w:t>
      </w:r>
      <w:r w:rsidR="00F90820" w:rsidRPr="00732156">
        <w:rPr>
          <w:rFonts w:ascii="Times New Roman" w:hAnsi="Times New Roman" w:cs="Times New Roman"/>
          <w:sz w:val="24"/>
          <w:szCs w:val="24"/>
        </w:rPr>
        <w:t xml:space="preserve">The level of democracy is introduced to consider the impact of fairer elections and the degree of political participation on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F90820" w:rsidRPr="00732156">
        <w:rPr>
          <w:rFonts w:ascii="Times New Roman" w:hAnsi="Times New Roman" w:cs="Times New Roman"/>
          <w:sz w:val="24"/>
          <w:szCs w:val="24"/>
        </w:rPr>
        <w:t xml:space="preserve">environmental quality of a country (Farzin and Bond 2006). </w:t>
      </w:r>
      <w:r w:rsidR="00F839B7" w:rsidRPr="00732156">
        <w:rPr>
          <w:rFonts w:ascii="Times New Roman" w:hAnsi="Times New Roman" w:cs="Times New Roman"/>
          <w:sz w:val="24"/>
          <w:szCs w:val="24"/>
        </w:rPr>
        <w:t>The u</w:t>
      </w:r>
      <w:r w:rsidR="001D475C" w:rsidRPr="00732156">
        <w:rPr>
          <w:rFonts w:ascii="Times New Roman" w:hAnsi="Times New Roman" w:cs="Times New Roman"/>
          <w:sz w:val="24"/>
          <w:szCs w:val="24"/>
        </w:rPr>
        <w:t>rbanization rate is also included to control for its impact on environmental quality</w:t>
      </w:r>
      <w:r w:rsidR="00A03137" w:rsidRPr="00732156">
        <w:rPr>
          <w:rFonts w:ascii="Times New Roman" w:hAnsi="Times New Roman" w:cs="Times New Roman"/>
          <w:sz w:val="24"/>
          <w:szCs w:val="24"/>
        </w:rPr>
        <w:t>,</w:t>
      </w:r>
      <w:r w:rsidR="001D475C" w:rsidRPr="00732156">
        <w:rPr>
          <w:rFonts w:ascii="Times New Roman" w:hAnsi="Times New Roman" w:cs="Times New Roman"/>
          <w:sz w:val="24"/>
          <w:szCs w:val="24"/>
        </w:rPr>
        <w:t xml:space="preserve"> in that cities are primary GHG emitters</w:t>
      </w:r>
      <w:r w:rsidR="00A03137" w:rsidRPr="00732156">
        <w:rPr>
          <w:rFonts w:ascii="Times New Roman" w:hAnsi="Times New Roman" w:cs="Times New Roman"/>
          <w:sz w:val="24"/>
          <w:szCs w:val="24"/>
        </w:rPr>
        <w:t>,</w:t>
      </w:r>
      <w:r w:rsidR="001D475C" w:rsidRPr="00732156">
        <w:rPr>
          <w:rFonts w:ascii="Times New Roman" w:hAnsi="Times New Roman" w:cs="Times New Roman"/>
          <w:sz w:val="24"/>
          <w:szCs w:val="24"/>
        </w:rPr>
        <w:t xml:space="preserve"> not only globally but in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D475C" w:rsidRPr="00732156">
        <w:rPr>
          <w:rFonts w:ascii="Times New Roman" w:hAnsi="Times New Roman" w:cs="Times New Roman"/>
          <w:sz w:val="24"/>
          <w:szCs w:val="24"/>
        </w:rPr>
        <w:t>Europe</w:t>
      </w:r>
      <w:r w:rsidR="00A03137" w:rsidRPr="00732156">
        <w:rPr>
          <w:rFonts w:ascii="Times New Roman" w:hAnsi="Times New Roman" w:cs="Times New Roman"/>
          <w:sz w:val="24"/>
          <w:szCs w:val="24"/>
        </w:rPr>
        <w:t xml:space="preserve"> as well</w:t>
      </w:r>
      <w:r w:rsidR="001D475C" w:rsidRPr="00732156">
        <w:rPr>
          <w:rFonts w:ascii="Times New Roman" w:hAnsi="Times New Roman" w:cs="Times New Roman"/>
          <w:sz w:val="24"/>
          <w:szCs w:val="24"/>
        </w:rPr>
        <w:t xml:space="preserve"> (Lee 2018). </w:t>
      </w:r>
      <w:r w:rsidR="00F73F73">
        <w:rPr>
          <w:rFonts w:ascii="Times New Roman" w:hAnsi="Times New Roman" w:cs="Times New Roman"/>
          <w:sz w:val="24"/>
          <w:szCs w:val="24"/>
        </w:rPr>
        <w:t>Finally</w:t>
      </w:r>
      <w:r w:rsidR="001D475C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3A65E9" w:rsidRPr="00732156">
        <w:rPr>
          <w:rFonts w:ascii="Times New Roman" w:hAnsi="Times New Roman" w:cs="Times New Roman"/>
          <w:sz w:val="24"/>
          <w:szCs w:val="24"/>
        </w:rPr>
        <w:t>GDP growth rate is included</w:t>
      </w:r>
      <w:r w:rsidR="00396235" w:rsidRPr="00732156">
        <w:rPr>
          <w:rFonts w:ascii="Times New Roman" w:hAnsi="Times New Roman" w:cs="Times New Roman"/>
          <w:sz w:val="24"/>
          <w:szCs w:val="24"/>
        </w:rPr>
        <w:t>,</w:t>
      </w:r>
      <w:r w:rsidR="003A65E9" w:rsidRPr="00732156">
        <w:rPr>
          <w:rFonts w:ascii="Times New Roman" w:hAnsi="Times New Roman" w:cs="Times New Roman"/>
          <w:sz w:val="24"/>
          <w:szCs w:val="24"/>
        </w:rPr>
        <w:t xml:space="preserve"> due to the possibility </w:t>
      </w:r>
      <w:r w:rsidR="00396235" w:rsidRPr="00732156">
        <w:rPr>
          <w:rFonts w:ascii="Times New Roman" w:hAnsi="Times New Roman" w:cs="Times New Roman"/>
          <w:sz w:val="24"/>
          <w:szCs w:val="24"/>
        </w:rPr>
        <w:t xml:space="preserve">that </w:t>
      </w:r>
      <w:r w:rsidR="003A65E9" w:rsidRPr="00732156">
        <w:rPr>
          <w:rFonts w:ascii="Times New Roman" w:hAnsi="Times New Roman" w:cs="Times New Roman"/>
          <w:sz w:val="24"/>
          <w:szCs w:val="24"/>
        </w:rPr>
        <w:t>emission intensity may increase or decrease simply because the rate of GDP growth changes.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 We also report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correlation table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for 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all variables in Appendix A. </w:t>
      </w:r>
    </w:p>
    <w:p w14:paraId="4DB18774" w14:textId="40C844BE" w:rsidR="003A65E9" w:rsidRPr="00732156" w:rsidRDefault="00317C34" w:rsidP="00A14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We devised </w:t>
      </w:r>
      <w:r w:rsidR="00A55EC0" w:rsidRPr="00732156">
        <w:rPr>
          <w:rFonts w:ascii="Times New Roman" w:hAnsi="Times New Roman" w:cs="Times New Roman"/>
          <w:sz w:val="24"/>
          <w:szCs w:val="24"/>
        </w:rPr>
        <w:t xml:space="preserve">three models for the panel analysis. Models using emission intensity as a dependent variable are twofold. As we mentioned earlier, Iceland does not have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A55EC0" w:rsidRPr="00732156">
        <w:rPr>
          <w:rFonts w:ascii="Times New Roman" w:hAnsi="Times New Roman" w:cs="Times New Roman"/>
          <w:sz w:val="24"/>
          <w:szCs w:val="24"/>
        </w:rPr>
        <w:t>Polity IV score throughout the time span, so we first generate Model 1 t</w:t>
      </w:r>
      <w:r w:rsidR="00F04B94" w:rsidRPr="00732156">
        <w:rPr>
          <w:rFonts w:ascii="Times New Roman" w:hAnsi="Times New Roman" w:cs="Times New Roman"/>
          <w:sz w:val="24"/>
          <w:szCs w:val="24"/>
        </w:rPr>
        <w:t>o om</w:t>
      </w:r>
      <w:r w:rsidR="00A55EC0" w:rsidRPr="00732156">
        <w:rPr>
          <w:rFonts w:ascii="Times New Roman" w:hAnsi="Times New Roman" w:cs="Times New Roman"/>
          <w:sz w:val="24"/>
          <w:szCs w:val="24"/>
        </w:rPr>
        <w:t>it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F04B94" w:rsidRPr="00732156">
        <w:rPr>
          <w:rFonts w:ascii="Times New Roman" w:hAnsi="Times New Roman" w:cs="Times New Roman"/>
          <w:sz w:val="24"/>
          <w:szCs w:val="24"/>
        </w:rPr>
        <w:t>Polity IV score as a control variable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 to include all 30 countries. </w:t>
      </w:r>
      <w:r w:rsidR="00A55EC0" w:rsidRPr="00732156">
        <w:rPr>
          <w:rFonts w:ascii="Times New Roman" w:hAnsi="Times New Roman" w:cs="Times New Roman"/>
          <w:sz w:val="24"/>
          <w:szCs w:val="24"/>
        </w:rPr>
        <w:t>Next, Model 2 omits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 Iceland in the analysis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A55EC0" w:rsidRPr="00732156">
        <w:rPr>
          <w:rFonts w:ascii="Times New Roman" w:hAnsi="Times New Roman" w:cs="Times New Roman"/>
          <w:sz w:val="24"/>
          <w:szCs w:val="24"/>
        </w:rPr>
        <w:t xml:space="preserve"> in order to include </w:t>
      </w:r>
      <w:r w:rsidR="00F04B94" w:rsidRPr="00732156">
        <w:rPr>
          <w:rFonts w:ascii="Times New Roman" w:hAnsi="Times New Roman" w:cs="Times New Roman"/>
          <w:sz w:val="24"/>
          <w:szCs w:val="24"/>
        </w:rPr>
        <w:t>Polity IV as a control variable</w:t>
      </w:r>
      <w:r w:rsidR="00A55EC0" w:rsidRPr="00732156">
        <w:rPr>
          <w:rFonts w:ascii="Times New Roman" w:hAnsi="Times New Roman" w:cs="Times New Roman"/>
          <w:sz w:val="24"/>
          <w:szCs w:val="24"/>
        </w:rPr>
        <w:t xml:space="preserve">. Model 3 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is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same </w:t>
      </w:r>
      <w:r w:rsidR="00F839B7" w:rsidRPr="00732156">
        <w:rPr>
          <w:rFonts w:ascii="Times New Roman" w:hAnsi="Times New Roman" w:cs="Times New Roman"/>
          <w:sz w:val="24"/>
          <w:szCs w:val="24"/>
        </w:rPr>
        <w:t>as</w:t>
      </w:r>
      <w:r w:rsidR="00F04B94" w:rsidRPr="00732156">
        <w:rPr>
          <w:rFonts w:ascii="Times New Roman" w:hAnsi="Times New Roman" w:cs="Times New Roman"/>
          <w:sz w:val="24"/>
          <w:szCs w:val="24"/>
        </w:rPr>
        <w:t xml:space="preserve"> Model 1 except that it </w:t>
      </w:r>
      <w:r w:rsidR="00A55EC0" w:rsidRPr="00732156">
        <w:rPr>
          <w:rFonts w:ascii="Times New Roman" w:hAnsi="Times New Roman" w:cs="Times New Roman"/>
          <w:sz w:val="24"/>
          <w:szCs w:val="24"/>
        </w:rPr>
        <w:t xml:space="preserve">uses GHG emissions as a dependent variable. </w:t>
      </w:r>
      <w:r w:rsidR="00F67612" w:rsidRPr="00732156">
        <w:rPr>
          <w:rFonts w:ascii="Times New Roman" w:hAnsi="Times New Roman" w:cs="Times New Roman"/>
          <w:sz w:val="24"/>
          <w:szCs w:val="24"/>
        </w:rPr>
        <w:t xml:space="preserve">Model 3 is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designed </w:t>
      </w:r>
      <w:r w:rsidR="00F67612" w:rsidRPr="00732156">
        <w:rPr>
          <w:rFonts w:ascii="Times New Roman" w:hAnsi="Times New Roman" w:cs="Times New Roman"/>
          <w:sz w:val="24"/>
          <w:szCs w:val="24"/>
        </w:rPr>
        <w:t>to test whether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F67612" w:rsidRPr="00732156">
        <w:rPr>
          <w:rFonts w:ascii="Times New Roman" w:hAnsi="Times New Roman" w:cs="Times New Roman"/>
          <w:sz w:val="24"/>
          <w:szCs w:val="24"/>
        </w:rPr>
        <w:t xml:space="preserve"> and to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what </w:t>
      </w:r>
      <w:r w:rsidR="00F67612" w:rsidRPr="00732156">
        <w:rPr>
          <w:rFonts w:ascii="Times New Roman" w:hAnsi="Times New Roman" w:cs="Times New Roman"/>
          <w:sz w:val="24"/>
          <w:szCs w:val="24"/>
        </w:rPr>
        <w:t>extent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F67612" w:rsidRPr="00732156">
        <w:rPr>
          <w:rFonts w:ascii="Times New Roman" w:hAnsi="Times New Roman" w:cs="Times New Roman"/>
          <w:sz w:val="24"/>
          <w:szCs w:val="24"/>
        </w:rPr>
        <w:t xml:space="preserve"> carbon pricing policies and other covariate</w:t>
      </w:r>
      <w:r w:rsidR="00736669" w:rsidRPr="00732156">
        <w:rPr>
          <w:rFonts w:ascii="Times New Roman" w:hAnsi="Times New Roman" w:cs="Times New Roman"/>
          <w:sz w:val="24"/>
          <w:szCs w:val="24"/>
        </w:rPr>
        <w:t>s</w:t>
      </w:r>
      <w:r w:rsidR="00F67612" w:rsidRPr="00732156">
        <w:rPr>
          <w:rFonts w:ascii="Times New Roman" w:hAnsi="Times New Roman" w:cs="Times New Roman"/>
          <w:sz w:val="24"/>
          <w:szCs w:val="24"/>
        </w:rPr>
        <w:t xml:space="preserve"> are asso</w:t>
      </w:r>
      <w:r w:rsidR="00F839B7" w:rsidRPr="00732156">
        <w:rPr>
          <w:rFonts w:ascii="Times New Roman" w:hAnsi="Times New Roman" w:cs="Times New Roman"/>
          <w:sz w:val="24"/>
          <w:szCs w:val="24"/>
        </w:rPr>
        <w:t>ci</w:t>
      </w:r>
      <w:r w:rsidR="00F67612" w:rsidRPr="00732156">
        <w:rPr>
          <w:rFonts w:ascii="Times New Roman" w:hAnsi="Times New Roman" w:cs="Times New Roman"/>
          <w:sz w:val="24"/>
          <w:szCs w:val="24"/>
        </w:rPr>
        <w:t xml:space="preserve">ated with GHG emissions. </w:t>
      </w:r>
      <w:r w:rsidR="00A55EC0" w:rsidRPr="00732156">
        <w:rPr>
          <w:rFonts w:ascii="Times New Roman" w:hAnsi="Times New Roman" w:cs="Times New Roman"/>
          <w:sz w:val="24"/>
          <w:szCs w:val="24"/>
        </w:rPr>
        <w:t>Except for the abovementioned variables and panel unit</w:t>
      </w:r>
      <w:r w:rsidR="00736669" w:rsidRPr="00732156">
        <w:rPr>
          <w:rFonts w:ascii="Times New Roman" w:hAnsi="Times New Roman" w:cs="Times New Roman"/>
          <w:sz w:val="24"/>
          <w:szCs w:val="24"/>
        </w:rPr>
        <w:t>s</w:t>
      </w:r>
      <w:r w:rsidR="00A55EC0" w:rsidRPr="00732156">
        <w:rPr>
          <w:rFonts w:ascii="Times New Roman" w:hAnsi="Times New Roman" w:cs="Times New Roman"/>
          <w:sz w:val="24"/>
          <w:szCs w:val="24"/>
        </w:rPr>
        <w:t xml:space="preserve">, all variables and units are included in each model. </w:t>
      </w:r>
    </w:p>
    <w:p w14:paraId="30167FAD" w14:textId="77777777" w:rsidR="001627BA" w:rsidRPr="00732156" w:rsidRDefault="001627BA" w:rsidP="00A55EC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4058CEC" w14:textId="2C2A2990" w:rsidR="00327E4A" w:rsidRPr="00732156" w:rsidRDefault="00327E4A" w:rsidP="00327E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156">
        <w:rPr>
          <w:rFonts w:ascii="Times New Roman" w:hAnsi="Times New Roman" w:cs="Times New Roman"/>
          <w:b/>
          <w:bCs/>
          <w:sz w:val="24"/>
          <w:szCs w:val="24"/>
        </w:rPr>
        <w:t>Result and Discussion</w:t>
      </w:r>
    </w:p>
    <w:p w14:paraId="49E327A1" w14:textId="75273DD0" w:rsidR="006B0883" w:rsidRPr="00732156" w:rsidRDefault="00327E4A" w:rsidP="00D33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1627BA" w:rsidRPr="00732156">
        <w:rPr>
          <w:rFonts w:ascii="Times New Roman" w:hAnsi="Times New Roman" w:cs="Times New Roman"/>
          <w:bCs/>
          <w:sz w:val="24"/>
          <w:szCs w:val="24"/>
        </w:rPr>
        <w:t>5</w:t>
      </w:r>
      <w:r w:rsidR="001627BA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Pr="00732156">
        <w:rPr>
          <w:rFonts w:ascii="Times New Roman" w:hAnsi="Times New Roman" w:cs="Times New Roman"/>
          <w:sz w:val="24"/>
          <w:szCs w:val="24"/>
        </w:rPr>
        <w:t xml:space="preserve">shows the results of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>three models. We report the results of a Hausman test for Model 1 (p=</w:t>
      </w:r>
      <w:r w:rsidR="006B0883" w:rsidRPr="00732156">
        <w:rPr>
          <w:rFonts w:ascii="Times New Roman" w:hAnsi="Times New Roman" w:cs="Times New Roman"/>
          <w:sz w:val="24"/>
          <w:szCs w:val="24"/>
        </w:rPr>
        <w:t>.1</w:t>
      </w:r>
      <w:r w:rsidR="009E1775" w:rsidRPr="00732156">
        <w:rPr>
          <w:rFonts w:ascii="Times New Roman" w:hAnsi="Times New Roman" w:cs="Times New Roman"/>
          <w:sz w:val="24"/>
          <w:szCs w:val="24"/>
        </w:rPr>
        <w:t>737</w:t>
      </w:r>
      <w:r w:rsidRPr="00732156">
        <w:rPr>
          <w:rFonts w:ascii="Times New Roman" w:hAnsi="Times New Roman" w:cs="Times New Roman"/>
          <w:sz w:val="24"/>
          <w:szCs w:val="24"/>
        </w:rPr>
        <w:t>)</w:t>
      </w:r>
      <w:r w:rsidR="009E1775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Model 2 (p=.</w:t>
      </w:r>
      <w:r w:rsidR="009E1775" w:rsidRPr="00732156">
        <w:rPr>
          <w:rFonts w:ascii="Times New Roman" w:hAnsi="Times New Roman" w:cs="Times New Roman"/>
          <w:sz w:val="24"/>
          <w:szCs w:val="24"/>
        </w:rPr>
        <w:t>0049</w:t>
      </w:r>
      <w:r w:rsidRPr="00732156">
        <w:rPr>
          <w:rFonts w:ascii="Times New Roman" w:hAnsi="Times New Roman" w:cs="Times New Roman"/>
          <w:sz w:val="24"/>
          <w:szCs w:val="24"/>
        </w:rPr>
        <w:t>)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and Model 3 (p=.99</w:t>
      </w:r>
      <w:r w:rsidR="006B0883" w:rsidRPr="00732156">
        <w:rPr>
          <w:rFonts w:ascii="Times New Roman" w:hAnsi="Times New Roman" w:cs="Times New Roman"/>
          <w:sz w:val="24"/>
          <w:szCs w:val="24"/>
        </w:rPr>
        <w:t>58</w:t>
      </w:r>
      <w:r w:rsidRPr="00732156">
        <w:rPr>
          <w:rFonts w:ascii="Times New Roman" w:hAnsi="Times New Roman" w:cs="Times New Roman"/>
          <w:sz w:val="24"/>
          <w:szCs w:val="24"/>
        </w:rPr>
        <w:t>).</w:t>
      </w:r>
      <w:r w:rsidR="006B0883" w:rsidRPr="00732156">
        <w:rPr>
          <w:rFonts w:ascii="Times New Roman" w:hAnsi="Times New Roman" w:cs="Times New Roman"/>
          <w:sz w:val="24"/>
          <w:szCs w:val="24"/>
        </w:rPr>
        <w:t xml:space="preserve"> Admittedly, there is a growing concern that the result of a Hausman test should not be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6B0883" w:rsidRPr="00732156">
        <w:rPr>
          <w:rFonts w:ascii="Times New Roman" w:hAnsi="Times New Roman" w:cs="Times New Roman"/>
          <w:sz w:val="24"/>
          <w:szCs w:val="24"/>
        </w:rPr>
        <w:t xml:space="preserve">sole reference to decide whether to </w:t>
      </w:r>
      <w:r w:rsidR="006B0883" w:rsidRPr="00732156">
        <w:rPr>
          <w:rFonts w:ascii="Times New Roman" w:hAnsi="Times New Roman" w:cs="Times New Roman"/>
          <w:sz w:val="24"/>
          <w:szCs w:val="24"/>
        </w:rPr>
        <w:lastRenderedPageBreak/>
        <w:t>use fixed or random effects (Bell</w:t>
      </w:r>
      <w:r w:rsidR="007D4E6A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="006B0883" w:rsidRPr="00732156">
        <w:rPr>
          <w:rFonts w:ascii="Times New Roman" w:hAnsi="Times New Roman" w:cs="Times New Roman"/>
          <w:sz w:val="24"/>
          <w:szCs w:val="24"/>
        </w:rPr>
        <w:t xml:space="preserve"> 2019).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 However, we do not observe any </w:t>
      </w:r>
      <w:r w:rsidR="00284D39" w:rsidRPr="00732156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F839B7" w:rsidRPr="00732156">
        <w:rPr>
          <w:rFonts w:ascii="Times New Roman" w:hAnsi="Times New Roman" w:cs="Times New Roman"/>
          <w:sz w:val="24"/>
          <w:szCs w:val="24"/>
        </w:rPr>
        <w:t>in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estimation results </w:t>
      </w:r>
      <w:r w:rsidR="00280863" w:rsidRPr="00732156">
        <w:rPr>
          <w:rFonts w:ascii="Times New Roman" w:hAnsi="Times New Roman" w:cs="Times New Roman"/>
          <w:sz w:val="24"/>
          <w:szCs w:val="24"/>
        </w:rPr>
        <w:t>between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280863" w:rsidRPr="00732156">
        <w:rPr>
          <w:rFonts w:ascii="Times New Roman" w:hAnsi="Times New Roman" w:cs="Times New Roman"/>
          <w:sz w:val="24"/>
          <w:szCs w:val="24"/>
        </w:rPr>
        <w:t>Model 1 and 2,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for either a </w:t>
      </w:r>
      <w:r w:rsidR="00127C27" w:rsidRPr="00732156">
        <w:rPr>
          <w:rFonts w:ascii="Times New Roman" w:hAnsi="Times New Roman" w:cs="Times New Roman"/>
          <w:sz w:val="24"/>
          <w:szCs w:val="24"/>
        </w:rPr>
        <w:t xml:space="preserve">fixed or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127C27" w:rsidRPr="00732156">
        <w:rPr>
          <w:rFonts w:ascii="Times New Roman" w:hAnsi="Times New Roman" w:cs="Times New Roman"/>
          <w:sz w:val="24"/>
          <w:szCs w:val="24"/>
        </w:rPr>
        <w:t>random model.</w:t>
      </w:r>
      <w:r w:rsidR="00280863" w:rsidRPr="00732156">
        <w:rPr>
          <w:rFonts w:ascii="Times New Roman" w:hAnsi="Times New Roman" w:cs="Times New Roman"/>
          <w:sz w:val="24"/>
          <w:szCs w:val="24"/>
        </w:rPr>
        <w:t xml:space="preserve"> We report this result in Appendix B. </w:t>
      </w:r>
    </w:p>
    <w:p w14:paraId="43FC27F4" w14:textId="7B39C55E" w:rsidR="00327E4A" w:rsidRPr="00732156" w:rsidRDefault="00327E4A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Confirming that the signs of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Pr="00732156">
        <w:rPr>
          <w:rFonts w:ascii="Times New Roman" w:hAnsi="Times New Roman" w:cs="Times New Roman"/>
          <w:sz w:val="24"/>
          <w:szCs w:val="24"/>
        </w:rPr>
        <w:t>coefficients in Model</w:t>
      </w:r>
      <w:r w:rsidR="00736669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1 and 2 are not different from each other, a variable is understood to facilitate strong decoupling when it shows negative coefficients in both Model</w:t>
      </w:r>
      <w:r w:rsidR="00736669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1 and 3. A variable is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interpreted </w:t>
      </w:r>
      <w:r w:rsidRPr="00732156">
        <w:rPr>
          <w:rFonts w:ascii="Times New Roman" w:hAnsi="Times New Roman" w:cs="Times New Roman"/>
          <w:sz w:val="24"/>
          <w:szCs w:val="24"/>
        </w:rPr>
        <w:t>to facilitate weak decoupling when it shows a negative coefficient in Model 1</w:t>
      </w:r>
      <w:r w:rsidR="00CC3117" w:rsidRPr="00732156">
        <w:rPr>
          <w:rFonts w:ascii="Times New Roman" w:hAnsi="Times New Roman" w:cs="Times New Roman"/>
          <w:sz w:val="24"/>
          <w:szCs w:val="24"/>
        </w:rPr>
        <w:t xml:space="preserve"> (emission intensity as </w:t>
      </w:r>
      <w:r w:rsidR="007D4E6A" w:rsidRPr="00732156">
        <w:rPr>
          <w:rFonts w:ascii="Times New Roman" w:hAnsi="Times New Roman" w:cs="Times New Roman"/>
          <w:sz w:val="24"/>
          <w:szCs w:val="24"/>
        </w:rPr>
        <w:t>a dependent variable</w:t>
      </w:r>
      <w:r w:rsidR="00CC3117" w:rsidRPr="00732156">
        <w:rPr>
          <w:rFonts w:ascii="Times New Roman" w:hAnsi="Times New Roman" w:cs="Times New Roman"/>
          <w:sz w:val="24"/>
          <w:szCs w:val="24"/>
        </w:rPr>
        <w:t>)</w:t>
      </w:r>
      <w:r w:rsidRPr="00732156">
        <w:rPr>
          <w:rFonts w:ascii="Times New Roman" w:hAnsi="Times New Roman" w:cs="Times New Roman"/>
          <w:sz w:val="24"/>
          <w:szCs w:val="24"/>
        </w:rPr>
        <w:t xml:space="preserve"> but a positive one in Model 3</w:t>
      </w:r>
      <w:r w:rsidR="00CC3117" w:rsidRPr="00732156">
        <w:rPr>
          <w:rFonts w:ascii="Times New Roman" w:hAnsi="Times New Roman" w:cs="Times New Roman"/>
          <w:sz w:val="24"/>
          <w:szCs w:val="24"/>
        </w:rPr>
        <w:t xml:space="preserve"> (GHG emissions as </w:t>
      </w:r>
      <w:r w:rsidR="007D4E6A" w:rsidRPr="00732156">
        <w:rPr>
          <w:rFonts w:ascii="Times New Roman" w:hAnsi="Times New Roman" w:cs="Times New Roman"/>
          <w:sz w:val="24"/>
          <w:szCs w:val="24"/>
        </w:rPr>
        <w:t>a dependent variable</w:t>
      </w:r>
      <w:r w:rsidR="00CC3117" w:rsidRPr="00732156">
        <w:rPr>
          <w:rFonts w:ascii="Times New Roman" w:hAnsi="Times New Roman" w:cs="Times New Roman"/>
          <w:sz w:val="24"/>
          <w:szCs w:val="24"/>
        </w:rPr>
        <w:t>)</w:t>
      </w:r>
      <w:r w:rsidRPr="00732156">
        <w:rPr>
          <w:rFonts w:ascii="Times New Roman" w:hAnsi="Times New Roman" w:cs="Times New Roman"/>
          <w:sz w:val="24"/>
          <w:szCs w:val="24"/>
        </w:rPr>
        <w:t>. When a variable has positive coefficients in both Model</w:t>
      </w:r>
      <w:r w:rsidR="00736669" w:rsidRPr="00732156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 1 and 3, it does not facilitate any type of decoupling.</w:t>
      </w:r>
    </w:p>
    <w:p w14:paraId="14F72577" w14:textId="48590CCD" w:rsidR="00127C27" w:rsidRPr="00732156" w:rsidRDefault="00586395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F6469" w:rsidRPr="00732156">
        <w:rPr>
          <w:rFonts w:ascii="Times New Roman" w:hAnsi="Times New Roman" w:cs="Times New Roman"/>
          <w:sz w:val="24"/>
          <w:szCs w:val="24"/>
        </w:rPr>
        <w:t>Our analysis of the factors that influence the level of decoupling</w:t>
      </w:r>
      <w:r w:rsidR="00D337B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confirms our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hypothesis that 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emission trading and carbon tax present different outcomes. </w:t>
      </w:r>
      <w:r w:rsidR="00736669" w:rsidRPr="00732156">
        <w:rPr>
          <w:rFonts w:ascii="Times New Roman" w:hAnsi="Times New Roman" w:cs="Times New Roman"/>
          <w:sz w:val="24"/>
          <w:szCs w:val="24"/>
        </w:rPr>
        <w:t>E</w:t>
      </w:r>
      <w:r w:rsidR="00EF1F78" w:rsidRPr="00732156">
        <w:rPr>
          <w:rFonts w:ascii="Times New Roman" w:hAnsi="Times New Roman" w:cs="Times New Roman"/>
          <w:sz w:val="24"/>
          <w:szCs w:val="24"/>
        </w:rPr>
        <w:t>mission trading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is negatively associated with emission intensity as well as GHG emissions. This shows that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36669" w:rsidRPr="00732156">
        <w:rPr>
          <w:rFonts w:ascii="Times New Roman" w:hAnsi="Times New Roman" w:cs="Times New Roman"/>
          <w:sz w:val="24"/>
          <w:szCs w:val="24"/>
        </w:rPr>
        <w:t>leads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to strong decoupling. Using our previous example in Table 1, countries that adopted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are more likely to resemble the case of country A rather than B. </w:t>
      </w:r>
      <w:r w:rsidR="00A95F0A" w:rsidRPr="00732156">
        <w:rPr>
          <w:rFonts w:ascii="Times New Roman" w:hAnsi="Times New Roman" w:cs="Times New Roman"/>
          <w:sz w:val="24"/>
          <w:szCs w:val="24"/>
        </w:rPr>
        <w:t xml:space="preserve">However,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A95F0A" w:rsidRPr="00732156">
        <w:rPr>
          <w:rFonts w:ascii="Times New Roman" w:hAnsi="Times New Roman" w:cs="Times New Roman"/>
          <w:sz w:val="24"/>
          <w:szCs w:val="24"/>
        </w:rPr>
        <w:t xml:space="preserve">implementation of carbon tax does not have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A95F0A" w:rsidRPr="00732156">
        <w:rPr>
          <w:rFonts w:ascii="Times New Roman" w:hAnsi="Times New Roman" w:cs="Times New Roman"/>
          <w:sz w:val="24"/>
          <w:szCs w:val="24"/>
        </w:rPr>
        <w:t>statistically significant impact on decoupling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A95F0A" w:rsidRPr="00732156">
        <w:rPr>
          <w:rFonts w:ascii="Times New Roman" w:hAnsi="Times New Roman" w:cs="Times New Roman"/>
          <w:sz w:val="24"/>
          <w:szCs w:val="24"/>
        </w:rPr>
        <w:t xml:space="preserve"> as well as GHG reduction. </w:t>
      </w:r>
      <w:r w:rsidR="00760A63">
        <w:rPr>
          <w:rFonts w:ascii="Times New Roman" w:hAnsi="Times New Roman" w:cs="Times New Roman"/>
          <w:sz w:val="24"/>
          <w:szCs w:val="24"/>
        </w:rPr>
        <w:t>This holds true even after taking into account cluster-robust variance estimators with the Satterthwaite degrees of freedom</w:t>
      </w:r>
      <w:r w:rsidR="00E53AE0">
        <w:rPr>
          <w:rFonts w:ascii="Times New Roman" w:hAnsi="Times New Roman" w:cs="Times New Roman"/>
          <w:sz w:val="24"/>
          <w:szCs w:val="24"/>
        </w:rPr>
        <w:t xml:space="preserve"> </w:t>
      </w:r>
      <w:r w:rsidR="006A4C9F">
        <w:rPr>
          <w:rFonts w:ascii="Times New Roman" w:hAnsi="Times New Roman" w:cs="Times New Roman"/>
          <w:sz w:val="24"/>
          <w:szCs w:val="24"/>
        </w:rPr>
        <w:t>(Pu</w:t>
      </w:r>
      <w:r w:rsidR="00A65824">
        <w:rPr>
          <w:rFonts w:ascii="Times New Roman" w:hAnsi="Times New Roman" w:cs="Times New Roman"/>
          <w:sz w:val="24"/>
          <w:szCs w:val="24"/>
        </w:rPr>
        <w:t>s</w:t>
      </w:r>
      <w:r w:rsidR="00344AF5">
        <w:rPr>
          <w:rFonts w:ascii="Times New Roman" w:hAnsi="Times New Roman" w:cs="Times New Roman"/>
          <w:sz w:val="24"/>
          <w:szCs w:val="24"/>
        </w:rPr>
        <w:t>te</w:t>
      </w:r>
      <w:r w:rsidR="008607C8">
        <w:rPr>
          <w:rFonts w:ascii="Times New Roman" w:hAnsi="Times New Roman" w:cs="Times New Roman"/>
          <w:sz w:val="24"/>
          <w:szCs w:val="24"/>
        </w:rPr>
        <w:t>jovsky and Tipton 201</w:t>
      </w:r>
      <w:r w:rsidR="00247686">
        <w:rPr>
          <w:rFonts w:ascii="Times New Roman" w:hAnsi="Times New Roman" w:cs="Times New Roman"/>
          <w:sz w:val="24"/>
          <w:szCs w:val="24"/>
        </w:rPr>
        <w:t>8</w:t>
      </w:r>
      <w:r w:rsidR="008607C8">
        <w:rPr>
          <w:rFonts w:ascii="Times New Roman" w:hAnsi="Times New Roman" w:cs="Times New Roman"/>
          <w:sz w:val="24"/>
          <w:szCs w:val="24"/>
        </w:rPr>
        <w:t>)</w:t>
      </w:r>
      <w:r w:rsidR="00760A63">
        <w:rPr>
          <w:rFonts w:ascii="Times New Roman" w:hAnsi="Times New Roman" w:cs="Times New Roman"/>
          <w:sz w:val="24"/>
          <w:szCs w:val="24"/>
        </w:rPr>
        <w:t xml:space="preserve"> in all panel models</w:t>
      </w:r>
      <w:r w:rsidR="00BF4363">
        <w:rPr>
          <w:rFonts w:ascii="Times New Roman" w:hAnsi="Times New Roman" w:cs="Times New Roman"/>
          <w:sz w:val="24"/>
          <w:szCs w:val="24"/>
        </w:rPr>
        <w:t>.</w:t>
      </w:r>
    </w:p>
    <w:p w14:paraId="05703F0F" w14:textId="3E2FD0C1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85FB1" w14:textId="7E2BF27F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2F33C" w14:textId="6DBFCCDF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38A6F" w14:textId="5882B53D" w:rsidR="001627BA" w:rsidRPr="00732156" w:rsidRDefault="001627BA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FDB2D" w14:textId="4338040C" w:rsidR="001627BA" w:rsidRPr="00732156" w:rsidRDefault="001627BA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00AC3" w14:textId="77777777" w:rsidR="001627BA" w:rsidRPr="00732156" w:rsidRDefault="001627BA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7E4D1" w14:textId="5E21FB7E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9FB3F" w14:textId="71E87DFE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367EDE" w14:textId="68AE05C1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FA7BC" w14:textId="1472C359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CDE1D" w14:textId="77777777" w:rsidR="00127C27" w:rsidRPr="00732156" w:rsidRDefault="00127C2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DE42F" w14:textId="77777777" w:rsidR="00127C27" w:rsidRPr="00732156" w:rsidRDefault="00127C27" w:rsidP="00127C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Table 5.</w:t>
      </w:r>
      <w:r w:rsidRPr="00732156">
        <w:rPr>
          <w:rFonts w:ascii="Times New Roman" w:hAnsi="Times New Roman" w:cs="Times New Roman"/>
          <w:sz w:val="24"/>
          <w:szCs w:val="24"/>
        </w:rPr>
        <w:t xml:space="preserve"> Model Estimation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5"/>
        <w:gridCol w:w="2315"/>
        <w:gridCol w:w="2225"/>
        <w:gridCol w:w="2231"/>
      </w:tblGrid>
      <w:tr w:rsidR="00127C27" w:rsidRPr="00732156" w14:paraId="298CCD5C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E0798F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8531C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1</w:t>
            </w:r>
          </w:p>
          <w:p w14:paraId="54D3492D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Emission intensity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AB31CB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2</w:t>
            </w:r>
          </w:p>
          <w:p w14:paraId="6AA2088B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Emission intensity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2EA77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3</w:t>
            </w:r>
          </w:p>
          <w:p w14:paraId="49DC754C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GHG emissions</w:t>
            </w:r>
          </w:p>
        </w:tc>
      </w:tr>
      <w:tr w:rsidR="00127C27" w:rsidRPr="00732156" w14:paraId="1D2F9BB9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AF19B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Model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7A4C6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Random Effect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D22433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Fixed Effect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C37A1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Random Effect</w:t>
            </w:r>
          </w:p>
        </w:tc>
      </w:tr>
      <w:tr w:rsidR="00127C27" w:rsidRPr="00732156" w14:paraId="5FDFD28A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75DA1B" w14:textId="1B4CE0E7" w:rsidR="00127C27" w:rsidRPr="00732156" w:rsidRDefault="008A32B1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Emission Trading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3D05B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-113.900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6A120BE2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(12.715)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5ED05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-106.997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3D6B8162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(13.256)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4F560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-5.896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5EA44B0B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(2.960)</w:t>
            </w:r>
          </w:p>
        </w:tc>
      </w:tr>
      <w:tr w:rsidR="00127C27" w:rsidRPr="00732156" w14:paraId="4C9C6DEA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CE767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Carbon Tax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662A2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-3.821</w:t>
            </w:r>
          </w:p>
          <w:p w14:paraId="386B8B1C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(25.071)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C4777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-40.295</w:t>
            </w:r>
          </w:p>
          <w:p w14:paraId="5C27858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(26.485)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39F3C3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-3.969</w:t>
            </w:r>
          </w:p>
          <w:p w14:paraId="114985BD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(6.909)</w:t>
            </w:r>
          </w:p>
        </w:tc>
      </w:tr>
      <w:tr w:rsidR="00127C27" w:rsidRPr="00732156" w14:paraId="7C5EFBF9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318413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Carbon Intensity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A48D1F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125.954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59C684EC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(60.948)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E64773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94.790</w:t>
            </w:r>
          </w:p>
          <w:p w14:paraId="304FC7F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(70.849)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B7299D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-29.669</w:t>
            </w:r>
          </w:p>
          <w:p w14:paraId="30C478E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(15.780)</w:t>
            </w:r>
          </w:p>
        </w:tc>
      </w:tr>
      <w:tr w:rsidR="00127C27" w:rsidRPr="00732156" w14:paraId="13BC65A3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F5794A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Electricity Inefficiency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3AF33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17.732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3691249A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(2.222)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35F49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16.074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5F5647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(2.233)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1B8C1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-1.789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5D9E896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(.472)</w:t>
            </w:r>
          </w:p>
        </w:tc>
      </w:tr>
      <w:tr w:rsidR="00127C27" w:rsidRPr="00732156" w14:paraId="1C8D7D7A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93D8F6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Renewable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7186D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-11.550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170FD3F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(2.120)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AFFFE0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-16.812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8F811B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(2.356)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CD4B0A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-2.134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71C48E21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(.509)</w:t>
            </w:r>
          </w:p>
        </w:tc>
      </w:tr>
      <w:tr w:rsidR="00127C27" w:rsidRPr="00732156" w14:paraId="0AE7EBF8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383F7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Fossil Fuel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A81FC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-7.962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C195FB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(2.244)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79A7AD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-8.022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A227A8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(2.689)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36F5A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1.711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6F938F2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(.597)</w:t>
            </w:r>
          </w:p>
        </w:tc>
      </w:tr>
      <w:tr w:rsidR="00127C27" w:rsidRPr="00732156" w14:paraId="17FC27D3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543513" w14:textId="6F5CBBE2" w:rsidR="00127C27" w:rsidRPr="00732156" w:rsidRDefault="00D077CF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D</w:t>
            </w:r>
            <w:r>
              <w:rPr>
                <w:rFonts w:ascii="Times New Roman" w:hAnsi="Times New Roman" w:cs="Times New Roman"/>
                <w:sz w:val="21"/>
              </w:rPr>
              <w:t>emocracy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850BA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C889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-21.301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17B0E5F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(4.232)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7412A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</w:tr>
      <w:tr w:rsidR="00127C27" w:rsidRPr="00732156" w14:paraId="49389EEE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908213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Urbanization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DAE420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0.924</w:t>
            </w:r>
          </w:p>
          <w:p w14:paraId="596E7591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(2.590)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A122A0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5.300</w:t>
            </w:r>
          </w:p>
          <w:p w14:paraId="29BA43FF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(3.026)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CF487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1.174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501B7A88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(.679)</w:t>
            </w:r>
          </w:p>
        </w:tc>
      </w:tr>
      <w:tr w:rsidR="00127C27" w:rsidRPr="00732156" w14:paraId="3FE34CFC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35DD0A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Economic Growth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6D9489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-3.133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5BE825AF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(1.429)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FA8336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-3.313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6C88AA3F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(1.405)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82800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.305</w:t>
            </w:r>
          </w:p>
          <w:p w14:paraId="38235E3E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(.315)</w:t>
            </w:r>
          </w:p>
        </w:tc>
      </w:tr>
      <w:tr w:rsidR="00127C27" w:rsidRPr="00732156" w14:paraId="122C9E59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D3EEF" w14:textId="77777777" w:rsidR="00127C27" w:rsidRPr="00732156" w:rsidRDefault="00127C27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Intercept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341311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848.860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41CC4E83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(256.827)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ECE18A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953ED3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102.653</w:t>
            </w:r>
          </w:p>
          <w:p w14:paraId="279820BC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(76.746)</w:t>
            </w:r>
          </w:p>
        </w:tc>
      </w:tr>
      <w:tr w:rsidR="00127C27" w:rsidRPr="00732156" w14:paraId="5FF24923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36BD6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N X T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0CD0B9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30 X 19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03D32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29 X 19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887E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30 X 19</w:t>
            </w:r>
          </w:p>
        </w:tc>
      </w:tr>
      <w:tr w:rsidR="00127C27" w:rsidRPr="00732156" w14:paraId="6F927F8D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ECA199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i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Adj. R</w:t>
            </w:r>
            <w:r w:rsidRPr="00732156">
              <w:rPr>
                <w:rFonts w:ascii="Times New Roman" w:hAnsi="Times New Roman" w:cs="Times New Roman"/>
                <w:i/>
                <w:sz w:val="21"/>
                <w:vertAlign w:val="superscript"/>
              </w:rPr>
              <w:t>2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05B46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.4410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A6D7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.5159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062A54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.2026</w:t>
            </w:r>
          </w:p>
        </w:tc>
      </w:tr>
      <w:tr w:rsidR="00127C27" w:rsidRPr="00732156" w14:paraId="792AB4AE" w14:textId="77777777" w:rsidTr="00D769B3">
        <w:tc>
          <w:tcPr>
            <w:tcW w:w="22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43669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Hausman Test</w:t>
            </w:r>
          </w:p>
        </w:tc>
        <w:tc>
          <w:tcPr>
            <w:tcW w:w="23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85375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p=.1737</w:t>
            </w:r>
          </w:p>
        </w:tc>
        <w:tc>
          <w:tcPr>
            <w:tcW w:w="22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4665E7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p=.0049</w:t>
            </w:r>
          </w:p>
        </w:tc>
        <w:tc>
          <w:tcPr>
            <w:tcW w:w="22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C023D0" w14:textId="77777777" w:rsidR="00127C27" w:rsidRPr="00732156" w:rsidRDefault="00127C27" w:rsidP="007967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p=.9958</w:t>
            </w:r>
          </w:p>
        </w:tc>
      </w:tr>
      <w:tr w:rsidR="00127C27" w:rsidRPr="00732156" w14:paraId="3AFEEA15" w14:textId="77777777" w:rsidTr="00796770">
        <w:tc>
          <w:tcPr>
            <w:tcW w:w="9016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627A68" w14:textId="6A90266D" w:rsidR="00127C27" w:rsidRPr="00732156" w:rsidRDefault="00127C27" w:rsidP="00796770">
            <w:pPr>
              <w:jc w:val="left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 xml:space="preserve">Note: </w:t>
            </w:r>
            <w:r w:rsidR="001627BA" w:rsidRPr="00732156">
              <w:rPr>
                <w:rFonts w:ascii="Times New Roman" w:hAnsi="Times New Roman" w:cs="Times New Roman"/>
                <w:sz w:val="21"/>
              </w:rPr>
              <w:t xml:space="preserve">Adjusted </w:t>
            </w:r>
            <w:r w:rsidRPr="00732156">
              <w:rPr>
                <w:rFonts w:ascii="Times New Roman" w:hAnsi="Times New Roman" w:cs="Times New Roman"/>
                <w:i/>
                <w:sz w:val="21"/>
              </w:rPr>
              <w:t>R</w:t>
            </w:r>
            <w:r w:rsidRPr="00732156">
              <w:rPr>
                <w:rFonts w:ascii="Times New Roman" w:hAnsi="Times New Roman" w:cs="Times New Roman"/>
                <w:i/>
                <w:sz w:val="21"/>
                <w:vertAlign w:val="superscript"/>
              </w:rPr>
              <w:t>2</w:t>
            </w:r>
            <w:r w:rsidRPr="00732156">
              <w:rPr>
                <w:rFonts w:ascii="Times New Roman" w:hAnsi="Times New Roman" w:cs="Times New Roman"/>
                <w:sz w:val="21"/>
              </w:rPr>
              <w:t xml:space="preserve"> is reported</w:t>
            </w:r>
            <w:r w:rsidR="001627BA" w:rsidRPr="00732156">
              <w:rPr>
                <w:rFonts w:ascii="Times New Roman" w:hAnsi="Times New Roman" w:cs="Times New Roman"/>
                <w:sz w:val="21"/>
              </w:rPr>
              <w:t>.</w:t>
            </w:r>
            <w:r w:rsidRPr="00732156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1627BA" w:rsidRPr="00732156">
              <w:rPr>
                <w:rFonts w:ascii="Times New Roman" w:hAnsi="Times New Roman" w:cs="Times New Roman"/>
                <w:sz w:val="21"/>
              </w:rPr>
              <w:t>S</w:t>
            </w:r>
            <w:r w:rsidRPr="00732156">
              <w:rPr>
                <w:rFonts w:ascii="Times New Roman" w:hAnsi="Times New Roman" w:cs="Times New Roman"/>
                <w:sz w:val="21"/>
              </w:rPr>
              <w:t xml:space="preserve">tandard errors are reported in parentheses. </w:t>
            </w:r>
          </w:p>
        </w:tc>
      </w:tr>
      <w:tr w:rsidR="00127C27" w:rsidRPr="00732156" w14:paraId="69F8328A" w14:textId="77777777" w:rsidTr="00796770">
        <w:tc>
          <w:tcPr>
            <w:tcW w:w="901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66FCAC" w14:textId="77777777" w:rsidR="00127C27" w:rsidRPr="00732156" w:rsidRDefault="00127C27" w:rsidP="00796770">
            <w:pPr>
              <w:jc w:val="left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*- p&lt;.05; **-p&lt;.01</w:t>
            </w:r>
          </w:p>
        </w:tc>
      </w:tr>
    </w:tbl>
    <w:p w14:paraId="024C48FF" w14:textId="5A64F375" w:rsidR="00EF6469" w:rsidRPr="00732156" w:rsidRDefault="00127C27" w:rsidP="00327E4A">
      <w:pPr>
        <w:spacing w:line="360" w:lineRule="auto"/>
        <w:rPr>
          <w:rFonts w:ascii="Times New Roman" w:hAnsi="Times New Roman" w:cs="Times New Roman"/>
        </w:rPr>
      </w:pPr>
      <w:r w:rsidRPr="00732156">
        <w:rPr>
          <w:rFonts w:ascii="Times New Roman" w:hAnsi="Times New Roman" w:cs="Times New Roman"/>
        </w:rPr>
        <w:br w:type="page"/>
      </w:r>
    </w:p>
    <w:p w14:paraId="1E4107E2" w14:textId="57FAF62E" w:rsidR="003F1509" w:rsidRPr="00732156" w:rsidRDefault="00A9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40E9" w:rsidRPr="00732156">
        <w:rPr>
          <w:rFonts w:ascii="Times New Roman" w:hAnsi="Times New Roman" w:cs="Times New Roman"/>
          <w:sz w:val="24"/>
          <w:szCs w:val="24"/>
        </w:rPr>
        <w:t>This may reflect the different policy design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="00C940E9" w:rsidRPr="00732156">
        <w:rPr>
          <w:rFonts w:ascii="Times New Roman" w:hAnsi="Times New Roman" w:cs="Times New Roman"/>
          <w:sz w:val="24"/>
          <w:szCs w:val="24"/>
        </w:rPr>
        <w:t xml:space="preserve"> of carbon pricing</w:t>
      </w:r>
      <w:r w:rsidR="00C231E1" w:rsidRPr="00732156">
        <w:rPr>
          <w:rFonts w:ascii="Times New Roman" w:hAnsi="Times New Roman" w:cs="Times New Roman"/>
          <w:sz w:val="24"/>
          <w:szCs w:val="24"/>
        </w:rPr>
        <w:t xml:space="preserve">, as we discussed above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in the </w:t>
      </w:r>
      <w:r w:rsidR="00C231E1" w:rsidRPr="00732156">
        <w:rPr>
          <w:rFonts w:ascii="Times New Roman" w:hAnsi="Times New Roman" w:cs="Times New Roman"/>
          <w:sz w:val="24"/>
          <w:szCs w:val="24"/>
        </w:rPr>
        <w:t>theory section</w:t>
      </w:r>
      <w:r w:rsidR="00C940E9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1537F1" w:rsidRPr="00732156">
        <w:rPr>
          <w:rFonts w:ascii="Times New Roman" w:hAnsi="Times New Roman" w:cs="Times New Roman"/>
          <w:sz w:val="24"/>
          <w:szCs w:val="24"/>
        </w:rPr>
        <w:t>pitfalls of emission trading</w:t>
      </w:r>
      <w:r w:rsidR="00736669" w:rsidRPr="00732156">
        <w:rPr>
          <w:rFonts w:ascii="Times New Roman" w:hAnsi="Times New Roman" w:cs="Times New Roman"/>
          <w:sz w:val="24"/>
          <w:szCs w:val="24"/>
        </w:rPr>
        <w:t>,</w:t>
      </w:r>
      <w:r w:rsidR="001537F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E6129" w:rsidRPr="00732156">
        <w:rPr>
          <w:rFonts w:ascii="Times New Roman" w:hAnsi="Times New Roman" w:cs="Times New Roman"/>
          <w:sz w:val="24"/>
          <w:szCs w:val="24"/>
        </w:rPr>
        <w:t>including</w:t>
      </w:r>
      <w:r w:rsidR="001537F1" w:rsidRPr="00732156">
        <w:rPr>
          <w:rFonts w:ascii="Times New Roman" w:hAnsi="Times New Roman" w:cs="Times New Roman"/>
          <w:sz w:val="24"/>
          <w:szCs w:val="24"/>
        </w:rPr>
        <w:t xml:space="preserve"> price </w:t>
      </w:r>
      <w:r w:rsidR="00EE6129" w:rsidRPr="00732156">
        <w:rPr>
          <w:rFonts w:ascii="Times New Roman" w:hAnsi="Times New Roman" w:cs="Times New Roman"/>
          <w:sz w:val="24"/>
          <w:szCs w:val="24"/>
        </w:rPr>
        <w:t>volatility</w:t>
      </w:r>
      <w:r w:rsidR="001537F1" w:rsidRPr="00732156">
        <w:rPr>
          <w:rFonts w:ascii="Times New Roman" w:hAnsi="Times New Roman" w:cs="Times New Roman"/>
          <w:sz w:val="24"/>
          <w:szCs w:val="24"/>
        </w:rPr>
        <w:t xml:space="preserve">, complex 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or flawed </w:t>
      </w:r>
      <w:r w:rsidR="001537F1" w:rsidRPr="00732156">
        <w:rPr>
          <w:rFonts w:ascii="Times New Roman" w:hAnsi="Times New Roman" w:cs="Times New Roman"/>
          <w:sz w:val="24"/>
          <w:szCs w:val="24"/>
        </w:rPr>
        <w:t xml:space="preserve">system design, 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mistakes in allocation, </w:t>
      </w:r>
      <w:r w:rsidR="001537F1" w:rsidRPr="00732156">
        <w:rPr>
          <w:rFonts w:ascii="Times New Roman" w:hAnsi="Times New Roman" w:cs="Times New Roman"/>
          <w:sz w:val="24"/>
          <w:szCs w:val="24"/>
        </w:rPr>
        <w:t>hardships in implementation and monitoring</w:t>
      </w:r>
      <w:r w:rsidR="00EE6129" w:rsidRPr="00732156">
        <w:rPr>
          <w:rFonts w:ascii="Times New Roman" w:hAnsi="Times New Roman" w:cs="Times New Roman"/>
          <w:sz w:val="24"/>
          <w:szCs w:val="24"/>
        </w:rPr>
        <w:t>, and li</w:t>
      </w:r>
      <w:r w:rsidR="006C15E3" w:rsidRPr="00732156">
        <w:rPr>
          <w:rFonts w:ascii="Times New Roman" w:hAnsi="Times New Roman" w:cs="Times New Roman"/>
          <w:sz w:val="24"/>
          <w:szCs w:val="24"/>
        </w:rPr>
        <w:t>n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kage to other </w:t>
      </w:r>
      <w:r w:rsidR="00760A63">
        <w:rPr>
          <w:rFonts w:ascii="Times New Roman" w:hAnsi="Times New Roman" w:cs="Times New Roman"/>
          <w:sz w:val="24"/>
          <w:szCs w:val="24"/>
        </w:rPr>
        <w:t>emission trading</w:t>
      </w:r>
      <w:r w:rsidR="00760A6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E6129" w:rsidRPr="00732156">
        <w:rPr>
          <w:rFonts w:ascii="Times New Roman" w:hAnsi="Times New Roman" w:cs="Times New Roman"/>
          <w:sz w:val="24"/>
          <w:szCs w:val="24"/>
        </w:rPr>
        <w:t>market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="00BD223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E6129" w:rsidRPr="00732156">
        <w:rPr>
          <w:rFonts w:ascii="Times New Roman" w:hAnsi="Times New Roman" w:cs="Times New Roman"/>
          <w:sz w:val="24"/>
          <w:szCs w:val="24"/>
        </w:rPr>
        <w:t>(Schneider et al 2017). However, our finding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B23A3" w:rsidRPr="00732156">
        <w:rPr>
          <w:rFonts w:ascii="Times New Roman" w:hAnsi="Times New Roman" w:cs="Times New Roman"/>
          <w:sz w:val="24"/>
          <w:szCs w:val="24"/>
        </w:rPr>
        <w:t>lend support</w:t>
      </w:r>
      <w:r w:rsidR="00EE612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36669" w:rsidRPr="00732156">
        <w:rPr>
          <w:rFonts w:ascii="Times New Roman" w:hAnsi="Times New Roman" w:cs="Times New Roman"/>
          <w:sz w:val="24"/>
          <w:szCs w:val="24"/>
        </w:rPr>
        <w:t xml:space="preserve">to the conclusion </w:t>
      </w:r>
      <w:r w:rsidR="00EE6129" w:rsidRPr="00732156">
        <w:rPr>
          <w:rFonts w:ascii="Times New Roman" w:hAnsi="Times New Roman" w:cs="Times New Roman"/>
          <w:sz w:val="24"/>
          <w:szCs w:val="24"/>
        </w:rPr>
        <w:t>that</w:t>
      </w:r>
      <w:r w:rsidR="00760A63">
        <w:rPr>
          <w:rFonts w:ascii="Times New Roman" w:hAnsi="Times New Roman" w:cs="Times New Roman"/>
          <w:sz w:val="24"/>
          <w:szCs w:val="24"/>
        </w:rPr>
        <w:t xml:space="preserve"> emission trading</w:t>
      </w:r>
      <w:r w:rsidR="00C940E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FD7221" w:rsidRPr="00732156">
        <w:rPr>
          <w:rFonts w:ascii="Times New Roman" w:hAnsi="Times New Roman" w:cs="Times New Roman"/>
          <w:sz w:val="24"/>
          <w:szCs w:val="24"/>
        </w:rPr>
        <w:t>is a</w:t>
      </w:r>
      <w:r w:rsidR="00736669" w:rsidRPr="00732156">
        <w:rPr>
          <w:rFonts w:ascii="Times New Roman" w:hAnsi="Times New Roman" w:cs="Times New Roman"/>
          <w:sz w:val="24"/>
          <w:szCs w:val="24"/>
        </w:rPr>
        <w:t>n effective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 carbon pricing system for large GHG emitters to cap the</w:t>
      </w:r>
      <w:r w:rsidR="00BE4B50" w:rsidRPr="00732156">
        <w:rPr>
          <w:rFonts w:ascii="Times New Roman" w:hAnsi="Times New Roman" w:cs="Times New Roman"/>
          <w:sz w:val="24"/>
          <w:szCs w:val="24"/>
        </w:rPr>
        <w:t>ir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 amount of total emissions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, lower emissions from each participant, </w:t>
      </w:r>
      <w:r w:rsidR="00054748" w:rsidRPr="00732156">
        <w:rPr>
          <w:rFonts w:ascii="Times New Roman" w:hAnsi="Times New Roman" w:cs="Times New Roman"/>
          <w:sz w:val="24"/>
          <w:szCs w:val="24"/>
        </w:rPr>
        <w:t>and trade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 credits in a cost</w:t>
      </w:r>
      <w:r w:rsidR="001F7EE0" w:rsidRPr="00732156">
        <w:rPr>
          <w:rFonts w:ascii="Times New Roman" w:hAnsi="Times New Roman" w:cs="Times New Roman"/>
          <w:sz w:val="24"/>
          <w:szCs w:val="24"/>
        </w:rPr>
        <w:t>-</w:t>
      </w:r>
      <w:r w:rsidR="00FD7221" w:rsidRPr="00732156">
        <w:rPr>
          <w:rFonts w:ascii="Times New Roman" w:hAnsi="Times New Roman" w:cs="Times New Roman"/>
          <w:sz w:val="24"/>
          <w:szCs w:val="24"/>
        </w:rPr>
        <w:t>effective manner. As existing research ha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 identified, par</w:t>
      </w:r>
      <w:r w:rsidR="005D30AC" w:rsidRPr="00732156">
        <w:rPr>
          <w:rFonts w:ascii="Times New Roman" w:hAnsi="Times New Roman" w:cs="Times New Roman"/>
          <w:sz w:val="24"/>
          <w:szCs w:val="24"/>
        </w:rPr>
        <w:t>ti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cipants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 have incentives to reduce GHG with lower costs and innovative technologies (Boy</w:t>
      </w:r>
      <w:r w:rsidR="007D4E6A" w:rsidRPr="00732156">
        <w:rPr>
          <w:rFonts w:ascii="Times New Roman" w:hAnsi="Times New Roman" w:cs="Times New Roman"/>
          <w:sz w:val="24"/>
          <w:szCs w:val="24"/>
        </w:rPr>
        <w:t>c</w:t>
      </w:r>
      <w:r w:rsidR="00FD7221" w:rsidRPr="00732156">
        <w:rPr>
          <w:rFonts w:ascii="Times New Roman" w:hAnsi="Times New Roman" w:cs="Times New Roman"/>
          <w:sz w:val="24"/>
          <w:szCs w:val="24"/>
        </w:rPr>
        <w:t>e 2018; H</w:t>
      </w:r>
      <w:r w:rsidR="007D4E6A" w:rsidRPr="00732156">
        <w:rPr>
          <w:rFonts w:ascii="Times New Roman" w:hAnsi="Times New Roman" w:cs="Times New Roman"/>
          <w:sz w:val="24"/>
          <w:szCs w:val="24"/>
        </w:rPr>
        <w:t>a</w:t>
      </w:r>
      <w:r w:rsidR="00FD7221" w:rsidRPr="00732156">
        <w:rPr>
          <w:rFonts w:ascii="Times New Roman" w:hAnsi="Times New Roman" w:cs="Times New Roman"/>
          <w:sz w:val="24"/>
          <w:szCs w:val="24"/>
        </w:rPr>
        <w:t>ites 2018</w:t>
      </w:r>
      <w:r w:rsidR="00D56C04" w:rsidRPr="00732156">
        <w:rPr>
          <w:rFonts w:ascii="Times New Roman" w:hAnsi="Times New Roman" w:cs="Times New Roman"/>
          <w:sz w:val="24"/>
          <w:szCs w:val="24"/>
        </w:rPr>
        <w:t>; Rogge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6C15E3" w:rsidRPr="00732156">
        <w:rPr>
          <w:rFonts w:ascii="Times New Roman" w:hAnsi="Times New Roman" w:cs="Times New Roman"/>
          <w:sz w:val="24"/>
          <w:szCs w:val="24"/>
        </w:rPr>
        <w:t>and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Hoffman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 2010</w:t>
      </w:r>
      <w:r w:rsidR="00FD7221" w:rsidRPr="00732156">
        <w:rPr>
          <w:rFonts w:ascii="Times New Roman" w:hAnsi="Times New Roman" w:cs="Times New Roman"/>
          <w:sz w:val="24"/>
          <w:szCs w:val="24"/>
        </w:rPr>
        <w:t xml:space="preserve">). </w:t>
      </w:r>
      <w:r w:rsidR="008A32B1">
        <w:rPr>
          <w:rFonts w:ascii="Times New Roman" w:hAnsi="Times New Roman" w:cs="Times New Roman"/>
          <w:sz w:val="24"/>
          <w:szCs w:val="24"/>
        </w:rPr>
        <w:t>Unlike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760A63">
        <w:rPr>
          <w:rFonts w:ascii="Times New Roman" w:hAnsi="Times New Roman" w:cs="Times New Roman"/>
          <w:sz w:val="24"/>
          <w:szCs w:val="24"/>
        </w:rPr>
        <w:t>emission trading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 ha</w:t>
      </w:r>
      <w:r w:rsidR="00760601" w:rsidRPr="00732156">
        <w:rPr>
          <w:rFonts w:ascii="Times New Roman" w:hAnsi="Times New Roman" w:cs="Times New Roman"/>
          <w:sz w:val="24"/>
          <w:szCs w:val="24"/>
        </w:rPr>
        <w:t>s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 been put on both household</w:t>
      </w:r>
      <w:r w:rsidR="00F839B7" w:rsidRPr="00732156">
        <w:rPr>
          <w:rFonts w:ascii="Times New Roman" w:hAnsi="Times New Roman" w:cs="Times New Roman"/>
          <w:sz w:val="24"/>
          <w:szCs w:val="24"/>
        </w:rPr>
        <w:t>s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 and firms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 (</w:t>
      </w:r>
      <w:r w:rsidR="006C15E3" w:rsidRPr="00732156">
        <w:rPr>
          <w:rFonts w:ascii="Times New Roman" w:hAnsi="Times New Roman" w:cs="Times New Roman"/>
          <w:sz w:val="24"/>
          <w:szCs w:val="24"/>
        </w:rPr>
        <w:t xml:space="preserve">Jenkins 2014; </w:t>
      </w:r>
      <w:r w:rsidR="00D56C04" w:rsidRPr="00732156">
        <w:rPr>
          <w:rFonts w:ascii="Times New Roman" w:hAnsi="Times New Roman" w:cs="Times New Roman"/>
          <w:sz w:val="24"/>
          <w:szCs w:val="24"/>
        </w:rPr>
        <w:t>Lundgren</w:t>
      </w:r>
      <w:r w:rsidR="00410539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 2015)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. Given the 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lower level of </w:t>
      </w:r>
      <w:r w:rsidR="00A37A32" w:rsidRPr="00732156">
        <w:rPr>
          <w:rFonts w:ascii="Times New Roman" w:hAnsi="Times New Roman" w:cs="Times New Roman"/>
          <w:sz w:val="24"/>
          <w:szCs w:val="24"/>
        </w:rPr>
        <w:t>ela</w:t>
      </w:r>
      <w:r w:rsidR="00D56C04" w:rsidRPr="00732156">
        <w:rPr>
          <w:rFonts w:ascii="Times New Roman" w:hAnsi="Times New Roman" w:cs="Times New Roman"/>
          <w:sz w:val="24"/>
          <w:szCs w:val="24"/>
        </w:rPr>
        <w:t>sti</w:t>
      </w:r>
      <w:r w:rsidR="00A37A32" w:rsidRPr="00732156">
        <w:rPr>
          <w:rFonts w:ascii="Times New Roman" w:hAnsi="Times New Roman" w:cs="Times New Roman"/>
          <w:sz w:val="24"/>
          <w:szCs w:val="24"/>
        </w:rPr>
        <w:t xml:space="preserve">city 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and innovation in </w:t>
      </w:r>
      <w:r w:rsidR="00F839B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D56C04" w:rsidRPr="00732156">
        <w:rPr>
          <w:rFonts w:ascii="Times New Roman" w:hAnsi="Times New Roman" w:cs="Times New Roman"/>
          <w:sz w:val="24"/>
          <w:szCs w:val="24"/>
        </w:rPr>
        <w:t>household energy sector</w:t>
      </w:r>
      <w:r w:rsidR="00FD33E8" w:rsidRPr="00732156">
        <w:rPr>
          <w:rFonts w:ascii="Times New Roman" w:hAnsi="Times New Roman" w:cs="Times New Roman"/>
          <w:sz w:val="24"/>
          <w:szCs w:val="24"/>
        </w:rPr>
        <w:t xml:space="preserve"> (each household has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flexibility on 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the small scale </w:t>
      </w:r>
      <w:r w:rsidR="00FD33E8" w:rsidRPr="00732156">
        <w:rPr>
          <w:rFonts w:ascii="Times New Roman" w:hAnsi="Times New Roman" w:cs="Times New Roman"/>
          <w:sz w:val="24"/>
          <w:szCs w:val="24"/>
        </w:rPr>
        <w:t xml:space="preserve">but there are </w:t>
      </w:r>
      <w:r w:rsidR="00F839B7" w:rsidRPr="00732156">
        <w:rPr>
          <w:rFonts w:ascii="Times New Roman" w:hAnsi="Times New Roman" w:cs="Times New Roman"/>
          <w:sz w:val="24"/>
          <w:szCs w:val="24"/>
        </w:rPr>
        <w:t>a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 number</w:t>
      </w:r>
      <w:r w:rsidR="00FD33E8" w:rsidRPr="00732156">
        <w:rPr>
          <w:rFonts w:ascii="Times New Roman" w:hAnsi="Times New Roman" w:cs="Times New Roman"/>
          <w:sz w:val="24"/>
          <w:szCs w:val="24"/>
        </w:rPr>
        <w:t xml:space="preserve"> of households)</w:t>
      </w:r>
      <w:r w:rsidR="00D56C04" w:rsidRPr="00732156">
        <w:rPr>
          <w:rFonts w:ascii="Times New Roman" w:hAnsi="Times New Roman" w:cs="Times New Roman"/>
          <w:sz w:val="24"/>
          <w:szCs w:val="24"/>
        </w:rPr>
        <w:t xml:space="preserve">, carbon tax may not </w:t>
      </w:r>
      <w:r w:rsidR="001537F1" w:rsidRPr="00732156">
        <w:rPr>
          <w:rFonts w:ascii="Times New Roman" w:hAnsi="Times New Roman" w:cs="Times New Roman"/>
          <w:sz w:val="24"/>
          <w:szCs w:val="24"/>
        </w:rPr>
        <w:t>be associated with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the </w:t>
      </w:r>
      <w:r w:rsidR="00D56C04" w:rsidRPr="00732156">
        <w:rPr>
          <w:rFonts w:ascii="Times New Roman" w:hAnsi="Times New Roman" w:cs="Times New Roman"/>
          <w:sz w:val="24"/>
          <w:szCs w:val="24"/>
        </w:rPr>
        <w:t>reduction of GHG emissions</w:t>
      </w:r>
      <w:r w:rsidR="00A37A32" w:rsidRPr="00732156">
        <w:rPr>
          <w:rFonts w:ascii="Times New Roman" w:hAnsi="Times New Roman" w:cs="Times New Roman"/>
          <w:sz w:val="24"/>
          <w:szCs w:val="24"/>
        </w:rPr>
        <w:t>.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BE4B50" w:rsidRPr="00732156">
        <w:rPr>
          <w:rFonts w:ascii="Times New Roman" w:hAnsi="Times New Roman" w:cs="Times New Roman"/>
          <w:sz w:val="24"/>
          <w:szCs w:val="24"/>
        </w:rPr>
        <w:t>Furthermore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as 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with different types of taxes,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not only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makes the </w:t>
      </w:r>
      <w:r w:rsidR="00EF6469" w:rsidRPr="00732156">
        <w:rPr>
          <w:rFonts w:ascii="Times New Roman" w:hAnsi="Times New Roman" w:cs="Times New Roman"/>
          <w:sz w:val="24"/>
          <w:szCs w:val="24"/>
        </w:rPr>
        <w:t>direct emission of GHG</w:t>
      </w:r>
      <w:r w:rsidR="00BE4B50" w:rsidRPr="00732156">
        <w:rPr>
          <w:rFonts w:ascii="Times New Roman" w:hAnsi="Times New Roman" w:cs="Times New Roman"/>
          <w:sz w:val="24"/>
          <w:szCs w:val="24"/>
        </w:rPr>
        <w:t>s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more costly, 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but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also makes </w:t>
      </w:r>
      <w:r w:rsidR="00EF6469" w:rsidRPr="00732156">
        <w:rPr>
          <w:rFonts w:ascii="Times New Roman" w:hAnsi="Times New Roman" w:cs="Times New Roman"/>
          <w:sz w:val="24"/>
          <w:szCs w:val="24"/>
        </w:rPr>
        <w:t>indirect emission (</w:t>
      </w:r>
      <w:r w:rsidR="009419C4">
        <w:rPr>
          <w:rFonts w:ascii="Times New Roman" w:hAnsi="Times New Roman" w:cs="Times New Roman"/>
          <w:sz w:val="24"/>
          <w:szCs w:val="24"/>
        </w:rPr>
        <w:t>for example,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 energy consumption) more costly,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the latter of </w:t>
      </w:r>
      <w:r w:rsidR="00EF6469" w:rsidRPr="00732156">
        <w:rPr>
          <w:rFonts w:ascii="Times New Roman" w:hAnsi="Times New Roman" w:cs="Times New Roman"/>
          <w:sz w:val="24"/>
          <w:szCs w:val="24"/>
        </w:rPr>
        <w:t xml:space="preserve">which is essential for promoting domestic gross production of goods and services. Therefore, </w:t>
      </w:r>
      <w:r w:rsidRPr="00732156">
        <w:rPr>
          <w:rFonts w:ascii="Times New Roman" w:hAnsi="Times New Roman" w:cs="Times New Roman"/>
          <w:sz w:val="24"/>
          <w:szCs w:val="24"/>
        </w:rPr>
        <w:t>the</w:t>
      </w:r>
      <w:r w:rsidR="00532595" w:rsidRPr="00732156">
        <w:rPr>
          <w:rFonts w:ascii="Times New Roman" w:hAnsi="Times New Roman" w:cs="Times New Roman"/>
          <w:sz w:val="24"/>
          <w:szCs w:val="24"/>
        </w:rPr>
        <w:t xml:space="preserve"> result</w:t>
      </w:r>
      <w:r w:rsidR="00BE4B50" w:rsidRPr="00732156">
        <w:rPr>
          <w:rFonts w:ascii="Times New Roman" w:hAnsi="Times New Roman" w:cs="Times New Roman"/>
          <w:sz w:val="24"/>
          <w:szCs w:val="24"/>
        </w:rPr>
        <w:t>s</w:t>
      </w:r>
      <w:r w:rsidR="0053259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presented here </w:t>
      </w:r>
      <w:r w:rsidRPr="00732156">
        <w:rPr>
          <w:rFonts w:ascii="Times New Roman" w:hAnsi="Times New Roman" w:cs="Times New Roman"/>
          <w:sz w:val="24"/>
          <w:szCs w:val="24"/>
        </w:rPr>
        <w:t>meet</w:t>
      </w:r>
      <w:r w:rsidR="0053259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71C0C" w:rsidRPr="00732156">
        <w:rPr>
          <w:rFonts w:ascii="Times New Roman" w:hAnsi="Times New Roman" w:cs="Times New Roman"/>
          <w:sz w:val="24"/>
          <w:szCs w:val="24"/>
        </w:rPr>
        <w:t xml:space="preserve">our </w:t>
      </w:r>
      <w:r w:rsidRPr="00732156">
        <w:rPr>
          <w:rFonts w:ascii="Times New Roman" w:hAnsi="Times New Roman" w:cs="Times New Roman"/>
          <w:sz w:val="24"/>
          <w:szCs w:val="24"/>
        </w:rPr>
        <w:t>expectation</w:t>
      </w:r>
      <w:r w:rsidR="00171C0C" w:rsidRPr="00732156">
        <w:rPr>
          <w:rFonts w:ascii="Times New Roman" w:hAnsi="Times New Roman" w:cs="Times New Roman"/>
          <w:sz w:val="24"/>
          <w:szCs w:val="24"/>
        </w:rPr>
        <w:t xml:space="preserve"> that carbon tax may not promote decoupling trends. </w:t>
      </w:r>
    </w:p>
    <w:p w14:paraId="2A2E554C" w14:textId="3F3383C4" w:rsidR="00327E4A" w:rsidRPr="00732156" w:rsidRDefault="00EF6469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23772" w:rsidRPr="00732156">
        <w:rPr>
          <w:rFonts w:ascii="Times New Roman" w:hAnsi="Times New Roman" w:cs="Times New Roman"/>
          <w:sz w:val="24"/>
          <w:szCs w:val="24"/>
        </w:rPr>
        <w:t xml:space="preserve">Among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E23772" w:rsidRPr="00732156">
        <w:rPr>
          <w:rFonts w:ascii="Times New Roman" w:hAnsi="Times New Roman" w:cs="Times New Roman"/>
          <w:sz w:val="24"/>
          <w:szCs w:val="24"/>
        </w:rPr>
        <w:t xml:space="preserve">other control variables, </w:t>
      </w:r>
      <w:r w:rsidR="001537F1" w:rsidRPr="00732156">
        <w:rPr>
          <w:rFonts w:ascii="Times New Roman" w:hAnsi="Times New Roman" w:cs="Times New Roman"/>
          <w:sz w:val="24"/>
          <w:szCs w:val="24"/>
        </w:rPr>
        <w:t xml:space="preserve">as expected, </w:t>
      </w:r>
      <w:r w:rsidR="00E23772" w:rsidRPr="00732156">
        <w:rPr>
          <w:rFonts w:ascii="Times New Roman" w:hAnsi="Times New Roman" w:cs="Times New Roman"/>
          <w:sz w:val="24"/>
          <w:szCs w:val="24"/>
        </w:rPr>
        <w:t xml:space="preserve">renewable energy </w:t>
      </w:r>
      <w:r w:rsidR="00BB4DEF" w:rsidRPr="00732156">
        <w:rPr>
          <w:rFonts w:ascii="Times New Roman" w:hAnsi="Times New Roman" w:cs="Times New Roman"/>
          <w:sz w:val="24"/>
          <w:szCs w:val="24"/>
        </w:rPr>
        <w:t>adoption</w:t>
      </w:r>
      <w:r w:rsidR="00C940E9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reveals a strong decoupling factor. 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A higher </w:t>
      </w:r>
      <w:r w:rsidR="001C0E21" w:rsidRPr="00732156">
        <w:rPr>
          <w:rFonts w:ascii="Times New Roman" w:hAnsi="Times New Roman" w:cs="Times New Roman"/>
          <w:sz w:val="24"/>
          <w:szCs w:val="24"/>
        </w:rPr>
        <w:t>percentage of renewable energy in final energy consumption accounts for</w:t>
      </w:r>
      <w:r w:rsidR="00BE4B50" w:rsidRPr="00732156">
        <w:rPr>
          <w:rFonts w:ascii="Times New Roman" w:hAnsi="Times New Roman" w:cs="Times New Roman"/>
          <w:sz w:val="24"/>
          <w:szCs w:val="24"/>
        </w:rPr>
        <w:t xml:space="preserve"> a lower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energy intensity, and </w:t>
      </w:r>
      <w:r w:rsidR="0068409C" w:rsidRPr="00732156">
        <w:rPr>
          <w:rFonts w:ascii="Times New Roman" w:hAnsi="Times New Roman" w:cs="Times New Roman"/>
          <w:sz w:val="24"/>
          <w:szCs w:val="24"/>
        </w:rPr>
        <w:t xml:space="preserve">therefore said country will emit 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less GHG emissions. This finding suggests that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renewable energy transition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across </w:t>
      </w:r>
      <w:r w:rsidR="001C0E21" w:rsidRPr="00732156">
        <w:rPr>
          <w:rFonts w:ascii="Times New Roman" w:hAnsi="Times New Roman" w:cs="Times New Roman"/>
          <w:sz w:val="24"/>
          <w:szCs w:val="24"/>
        </w:rPr>
        <w:t>the EU</w:t>
      </w:r>
      <w:r w:rsidR="00C4246A" w:rsidRPr="00732156">
        <w:rPr>
          <w:rFonts w:ascii="Times New Roman" w:hAnsi="Times New Roman" w:cs="Times New Roman"/>
          <w:sz w:val="24"/>
          <w:szCs w:val="24"/>
        </w:rPr>
        <w:t>,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and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EU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1C0E21" w:rsidRPr="00732156">
        <w:rPr>
          <w:rFonts w:ascii="Times New Roman" w:hAnsi="Times New Roman" w:cs="Times New Roman"/>
          <w:sz w:val="24"/>
          <w:szCs w:val="24"/>
        </w:rPr>
        <w:t>country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C0E21" w:rsidRPr="00732156">
        <w:rPr>
          <w:rFonts w:ascii="Times New Roman" w:hAnsi="Times New Roman" w:cs="Times New Roman"/>
          <w:sz w:val="24"/>
          <w:szCs w:val="24"/>
        </w:rPr>
        <w:t>level</w:t>
      </w:r>
      <w:r w:rsidR="00C4246A" w:rsidRPr="00732156">
        <w:rPr>
          <w:rFonts w:ascii="Times New Roman" w:hAnsi="Times New Roman" w:cs="Times New Roman"/>
          <w:sz w:val="24"/>
          <w:szCs w:val="24"/>
        </w:rPr>
        <w:t>,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is an effective measure for </w:t>
      </w:r>
      <w:r w:rsidR="00C568D4" w:rsidRPr="00732156">
        <w:rPr>
          <w:rFonts w:ascii="Times New Roman" w:hAnsi="Times New Roman" w:cs="Times New Roman"/>
          <w:sz w:val="24"/>
          <w:szCs w:val="24"/>
        </w:rPr>
        <w:t>strong decoupling.</w:t>
      </w: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C568D4" w:rsidRPr="00732156">
        <w:rPr>
          <w:rFonts w:ascii="Times New Roman" w:hAnsi="Times New Roman" w:cs="Times New Roman"/>
          <w:sz w:val="24"/>
          <w:szCs w:val="24"/>
        </w:rPr>
        <w:t>Compared to renewable energy</w:t>
      </w:r>
      <w:r w:rsidR="006C2B9D" w:rsidRPr="00732156">
        <w:rPr>
          <w:rFonts w:ascii="Times New Roman" w:hAnsi="Times New Roman" w:cs="Times New Roman"/>
          <w:sz w:val="24"/>
          <w:szCs w:val="24"/>
        </w:rPr>
        <w:t>, t</w:t>
      </w:r>
      <w:r w:rsidR="00C568D4" w:rsidRPr="00732156">
        <w:rPr>
          <w:rFonts w:ascii="Times New Roman" w:hAnsi="Times New Roman" w:cs="Times New Roman"/>
          <w:sz w:val="24"/>
          <w:szCs w:val="24"/>
        </w:rPr>
        <w:t>he adoption of f</w:t>
      </w:r>
      <w:r w:rsidR="00FB5514" w:rsidRPr="00732156">
        <w:rPr>
          <w:rFonts w:ascii="Times New Roman" w:hAnsi="Times New Roman" w:cs="Times New Roman"/>
          <w:sz w:val="24"/>
          <w:szCs w:val="24"/>
        </w:rPr>
        <w:t>ossil fuel</w:t>
      </w:r>
      <w:r w:rsidR="00C4246A" w:rsidRPr="00732156">
        <w:rPr>
          <w:rFonts w:ascii="Times New Roman" w:hAnsi="Times New Roman" w:cs="Times New Roman"/>
          <w:sz w:val="24"/>
          <w:szCs w:val="24"/>
        </w:rPr>
        <w:t>s</w:t>
      </w:r>
      <w:r w:rsidR="00C568D4" w:rsidRPr="00732156">
        <w:rPr>
          <w:rFonts w:ascii="Times New Roman" w:hAnsi="Times New Roman" w:cs="Times New Roman"/>
          <w:sz w:val="24"/>
          <w:szCs w:val="24"/>
        </w:rPr>
        <w:t xml:space="preserve"> presents weak decoupling. Fossil fuel adoption tends to </w:t>
      </w:r>
      <w:r w:rsidR="00FB5514" w:rsidRPr="00732156">
        <w:rPr>
          <w:rFonts w:ascii="Times New Roman" w:hAnsi="Times New Roman" w:cs="Times New Roman"/>
          <w:sz w:val="24"/>
          <w:szCs w:val="24"/>
        </w:rPr>
        <w:t>increase GDP</w:t>
      </w:r>
      <w:r w:rsidR="00C4246A" w:rsidRPr="00732156">
        <w:rPr>
          <w:rFonts w:ascii="Times New Roman" w:hAnsi="Times New Roman" w:cs="Times New Roman"/>
          <w:sz w:val="24"/>
          <w:szCs w:val="24"/>
        </w:rPr>
        <w:t>,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which 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is the </w:t>
      </w:r>
      <w:r w:rsidR="00532595" w:rsidRPr="00732156">
        <w:rPr>
          <w:rFonts w:ascii="Times New Roman" w:hAnsi="Times New Roman" w:cs="Times New Roman"/>
          <w:sz w:val="24"/>
          <w:szCs w:val="24"/>
        </w:rPr>
        <w:t>denominator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of the emission intensity. This may lead to </w:t>
      </w:r>
      <w:r w:rsidR="008B23A3" w:rsidRPr="00732156">
        <w:rPr>
          <w:rFonts w:ascii="Times New Roman" w:hAnsi="Times New Roman" w:cs="Times New Roman"/>
          <w:sz w:val="24"/>
          <w:szCs w:val="24"/>
        </w:rPr>
        <w:t>a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decrease </w:t>
      </w:r>
      <w:r w:rsidR="008B23A3" w:rsidRPr="00732156">
        <w:rPr>
          <w:rFonts w:ascii="Times New Roman" w:hAnsi="Times New Roman" w:cs="Times New Roman"/>
          <w:sz w:val="24"/>
          <w:szCs w:val="24"/>
        </w:rPr>
        <w:t>in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emission intensity. However, in </w:t>
      </w:r>
      <w:r w:rsidR="008B23A3" w:rsidRPr="00732156">
        <w:rPr>
          <w:rFonts w:ascii="Times New Roman" w:hAnsi="Times New Roman" w:cs="Times New Roman"/>
          <w:sz w:val="24"/>
          <w:szCs w:val="24"/>
        </w:rPr>
        <w:t>M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odel 3, </w:t>
      </w:r>
      <w:r w:rsidR="00C4246A" w:rsidRPr="00732156">
        <w:rPr>
          <w:rFonts w:ascii="Times New Roman" w:hAnsi="Times New Roman" w:cs="Times New Roman"/>
          <w:sz w:val="24"/>
          <w:szCs w:val="24"/>
        </w:rPr>
        <w:t xml:space="preserve">stronger </w:t>
      </w:r>
      <w:r w:rsidR="00FB5514" w:rsidRPr="00732156">
        <w:rPr>
          <w:rFonts w:ascii="Times New Roman" w:hAnsi="Times New Roman" w:cs="Times New Roman"/>
          <w:sz w:val="24"/>
          <w:szCs w:val="24"/>
        </w:rPr>
        <w:t>adoption of fossil fuel</w:t>
      </w:r>
      <w:r w:rsidR="00C4246A" w:rsidRPr="00732156">
        <w:rPr>
          <w:rFonts w:ascii="Times New Roman" w:hAnsi="Times New Roman" w:cs="Times New Roman"/>
          <w:sz w:val="24"/>
          <w:szCs w:val="24"/>
        </w:rPr>
        <w:t>s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in the energy mix is positively associated with GHG emissions. In a similar vein,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FB5514" w:rsidRPr="00732156">
        <w:rPr>
          <w:rFonts w:ascii="Times New Roman" w:hAnsi="Times New Roman" w:cs="Times New Roman"/>
          <w:sz w:val="24"/>
          <w:szCs w:val="24"/>
        </w:rPr>
        <w:t>economic growth rate presents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a</w:t>
      </w:r>
      <w:r w:rsidR="00FB5514" w:rsidRPr="00732156">
        <w:rPr>
          <w:rFonts w:ascii="Times New Roman" w:hAnsi="Times New Roman" w:cs="Times New Roman"/>
          <w:sz w:val="24"/>
          <w:szCs w:val="24"/>
        </w:rPr>
        <w:t xml:space="preserve"> negative association with emission intensity</w:t>
      </w:r>
      <w:r w:rsidR="00C568D4" w:rsidRPr="00732156">
        <w:rPr>
          <w:rFonts w:ascii="Times New Roman" w:hAnsi="Times New Roman" w:cs="Times New Roman"/>
          <w:sz w:val="24"/>
          <w:szCs w:val="24"/>
        </w:rPr>
        <w:t xml:space="preserve"> but no</w:t>
      </w:r>
      <w:r w:rsidR="008A32B1">
        <w:rPr>
          <w:rFonts w:ascii="Times New Roman" w:hAnsi="Times New Roman" w:cs="Times New Roman"/>
          <w:sz w:val="24"/>
          <w:szCs w:val="24"/>
        </w:rPr>
        <w:t xml:space="preserve"> statistically significant effect</w:t>
      </w:r>
      <w:r w:rsidR="00C568D4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A32B1">
        <w:rPr>
          <w:rFonts w:ascii="Times New Roman" w:hAnsi="Times New Roman" w:cs="Times New Roman"/>
          <w:sz w:val="24"/>
          <w:szCs w:val="24"/>
        </w:rPr>
        <w:t xml:space="preserve">on </w:t>
      </w:r>
      <w:r w:rsidR="00C568D4" w:rsidRPr="00732156">
        <w:rPr>
          <w:rFonts w:ascii="Times New Roman" w:hAnsi="Times New Roman" w:cs="Times New Roman"/>
          <w:sz w:val="24"/>
          <w:szCs w:val="24"/>
        </w:rPr>
        <w:t>GHG emission</w:t>
      </w:r>
      <w:r w:rsidR="00C4246A" w:rsidRPr="00732156">
        <w:rPr>
          <w:rFonts w:ascii="Times New Roman" w:hAnsi="Times New Roman" w:cs="Times New Roman"/>
          <w:sz w:val="24"/>
          <w:szCs w:val="24"/>
        </w:rPr>
        <w:t>s</w:t>
      </w:r>
      <w:r w:rsidR="008A32B1">
        <w:rPr>
          <w:rFonts w:ascii="Times New Roman" w:hAnsi="Times New Roman" w:cs="Times New Roman"/>
          <w:sz w:val="24"/>
          <w:szCs w:val="24"/>
        </w:rPr>
        <w:t xml:space="preserve">. </w:t>
      </w:r>
      <w:r w:rsidR="00FB5514" w:rsidRPr="00732156">
        <w:rPr>
          <w:rFonts w:ascii="Times New Roman" w:hAnsi="Times New Roman" w:cs="Times New Roman"/>
          <w:sz w:val="24"/>
          <w:szCs w:val="24"/>
        </w:rPr>
        <w:t>This implies that economic growth and fossil fuel usage be</w:t>
      </w:r>
      <w:r w:rsidR="001C0E21" w:rsidRPr="00732156">
        <w:rPr>
          <w:rFonts w:ascii="Times New Roman" w:hAnsi="Times New Roman" w:cs="Times New Roman"/>
          <w:sz w:val="24"/>
          <w:szCs w:val="24"/>
        </w:rPr>
        <w:t>get weak decoupling</w:t>
      </w:r>
      <w:r w:rsidR="00C4246A" w:rsidRPr="00732156">
        <w:rPr>
          <w:rFonts w:ascii="Times New Roman" w:hAnsi="Times New Roman" w:cs="Times New Roman"/>
          <w:sz w:val="24"/>
          <w:szCs w:val="24"/>
        </w:rPr>
        <w:t>,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but not strong decoupling</w:t>
      </w:r>
      <w:r w:rsidR="00C4246A" w:rsidRPr="00732156">
        <w:rPr>
          <w:rFonts w:ascii="Times New Roman" w:hAnsi="Times New Roman" w:cs="Times New Roman"/>
          <w:sz w:val="24"/>
          <w:szCs w:val="24"/>
        </w:rPr>
        <w:t>,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B23A3" w:rsidRPr="00732156">
        <w:rPr>
          <w:rFonts w:ascii="Times New Roman" w:hAnsi="Times New Roman" w:cs="Times New Roman"/>
          <w:sz w:val="24"/>
          <w:szCs w:val="24"/>
        </w:rPr>
        <w:t>in which</w:t>
      </w:r>
      <w:r w:rsidR="001C0E2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1C0E21" w:rsidRPr="00732156">
        <w:rPr>
          <w:rFonts w:ascii="Times New Roman" w:hAnsi="Times New Roman" w:cs="Times New Roman"/>
          <w:sz w:val="24"/>
          <w:szCs w:val="24"/>
        </w:rPr>
        <w:t>actual GHG emission</w:t>
      </w:r>
      <w:r w:rsidR="00C4246A" w:rsidRPr="00732156">
        <w:rPr>
          <w:rFonts w:ascii="Times New Roman" w:hAnsi="Times New Roman" w:cs="Times New Roman"/>
          <w:sz w:val="24"/>
          <w:szCs w:val="24"/>
        </w:rPr>
        <w:t>s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C4246A" w:rsidRPr="00732156">
        <w:rPr>
          <w:rFonts w:ascii="Times New Roman" w:hAnsi="Times New Roman" w:cs="Times New Roman"/>
          <w:sz w:val="24"/>
          <w:szCs w:val="24"/>
        </w:rPr>
        <w:t>reduce</w:t>
      </w:r>
      <w:r w:rsidR="001C0E21" w:rsidRPr="00732156">
        <w:rPr>
          <w:rFonts w:ascii="Times New Roman" w:hAnsi="Times New Roman" w:cs="Times New Roman"/>
          <w:sz w:val="24"/>
          <w:szCs w:val="24"/>
        </w:rPr>
        <w:t>.</w:t>
      </w:r>
    </w:p>
    <w:p w14:paraId="08374F6F" w14:textId="58E9CAEE" w:rsidR="006F1398" w:rsidRPr="00732156" w:rsidRDefault="00D337B7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Next, we examine whether our result for the effect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in decoupling is robust. We focus on the fact that </w:t>
      </w:r>
      <w:r w:rsidR="006F1398" w:rsidRPr="00732156">
        <w:rPr>
          <w:rFonts w:ascii="Times New Roman" w:hAnsi="Times New Roman" w:cs="Times New Roman"/>
          <w:sz w:val="24"/>
          <w:szCs w:val="24"/>
        </w:rPr>
        <w:t xml:space="preserve">25 out of 30 countries in our data introduced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6F1398" w:rsidRPr="00732156">
        <w:rPr>
          <w:rFonts w:ascii="Times New Roman" w:hAnsi="Times New Roman" w:cs="Times New Roman"/>
          <w:sz w:val="24"/>
          <w:szCs w:val="24"/>
        </w:rPr>
        <w:t xml:space="preserve"> (EU-</w:t>
      </w:r>
      <w:r w:rsidR="006F1398" w:rsidRPr="00732156">
        <w:rPr>
          <w:rFonts w:ascii="Times New Roman" w:hAnsi="Times New Roman" w:cs="Times New Roman"/>
          <w:sz w:val="24"/>
          <w:szCs w:val="24"/>
        </w:rPr>
        <w:lastRenderedPageBreak/>
        <w:t>ETS) in 2005.</w:t>
      </w:r>
      <w:r w:rsidR="00AA22A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This enables us to regard the introduction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as a policy intervention, and therefore estimate its effect on emission intensity</w:t>
      </w:r>
      <w:r w:rsidR="008B23A3" w:rsidRPr="00732156">
        <w:rPr>
          <w:rFonts w:ascii="Times New Roman" w:hAnsi="Times New Roman" w:cs="Times New Roman"/>
          <w:sz w:val="24"/>
          <w:szCs w:val="24"/>
        </w:rPr>
        <w:t>,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all else </w:t>
      </w:r>
      <w:r w:rsidR="00066456" w:rsidRPr="00732156">
        <w:rPr>
          <w:rFonts w:ascii="Times New Roman" w:hAnsi="Times New Roman" w:cs="Times New Roman"/>
          <w:sz w:val="24"/>
          <w:szCs w:val="24"/>
        </w:rPr>
        <w:t xml:space="preserve">being 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equal. Therefore, we check if the effect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in decoupling is significant </w:t>
      </w:r>
      <w:r w:rsidR="00706230" w:rsidRPr="00732156">
        <w:rPr>
          <w:rFonts w:ascii="Times New Roman" w:hAnsi="Times New Roman" w:cs="Times New Roman"/>
          <w:sz w:val="24"/>
          <w:szCs w:val="24"/>
        </w:rPr>
        <w:t xml:space="preserve">by estimating 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it </w:t>
      </w:r>
      <w:r w:rsidR="006F1398" w:rsidRPr="00732156">
        <w:rPr>
          <w:rFonts w:ascii="Times New Roman" w:hAnsi="Times New Roman" w:cs="Times New Roman"/>
          <w:sz w:val="24"/>
          <w:szCs w:val="24"/>
        </w:rPr>
        <w:t>with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the longitudinal pre-post quasi-experimental design (Leatherdale 2018). This design enables us to estimate the implementation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by comparing the treatment and control group</w:t>
      </w:r>
      <w:r w:rsidR="00E72706" w:rsidRPr="00732156">
        <w:rPr>
          <w:rFonts w:ascii="Times New Roman" w:hAnsi="Times New Roman" w:cs="Times New Roman"/>
          <w:sz w:val="24"/>
          <w:szCs w:val="24"/>
        </w:rPr>
        <w:t>s</w:t>
      </w:r>
      <w:r w:rsidR="006F1398" w:rsidRPr="0073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1C293A" w14:textId="1723336C" w:rsidR="00AA22A0" w:rsidRPr="00732156" w:rsidRDefault="006F1398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Inarguably, the adoption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Pr="00732156">
        <w:rPr>
          <w:rFonts w:ascii="Times New Roman" w:hAnsi="Times New Roman" w:cs="Times New Roman"/>
          <w:sz w:val="24"/>
          <w:szCs w:val="24"/>
        </w:rPr>
        <w:t xml:space="preserve"> is not</w:t>
      </w:r>
      <w:r w:rsidR="00C0794A" w:rsidRPr="00732156">
        <w:rPr>
          <w:rFonts w:ascii="Times New Roman" w:hAnsi="Times New Roman" w:cs="Times New Roman"/>
          <w:sz w:val="24"/>
          <w:szCs w:val="24"/>
        </w:rPr>
        <w:t xml:space="preserve"> randomly assigned</w:t>
      </w:r>
      <w:r w:rsidRPr="00732156">
        <w:rPr>
          <w:rFonts w:ascii="Times New Roman" w:hAnsi="Times New Roman" w:cs="Times New Roman"/>
          <w:sz w:val="24"/>
          <w:szCs w:val="24"/>
        </w:rPr>
        <w:t xml:space="preserve"> across countrie</w:t>
      </w:r>
      <w:r w:rsidR="008842E5">
        <w:rPr>
          <w:rFonts w:ascii="Times New Roman" w:hAnsi="Times New Roman" w:cs="Times New Roman"/>
          <w:sz w:val="24"/>
          <w:szCs w:val="24"/>
        </w:rPr>
        <w:t>s</w:t>
      </w:r>
      <w:r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FA3C80" w:rsidRPr="00732156">
        <w:rPr>
          <w:rFonts w:ascii="Times New Roman" w:hAnsi="Times New Roman" w:cs="Times New Roman"/>
          <w:sz w:val="24"/>
          <w:szCs w:val="24"/>
        </w:rPr>
        <w:t>To overcome this obstacle</w:t>
      </w:r>
      <w:r w:rsidRPr="00732156">
        <w:rPr>
          <w:rFonts w:ascii="Times New Roman" w:hAnsi="Times New Roman" w:cs="Times New Roman"/>
          <w:sz w:val="24"/>
          <w:szCs w:val="24"/>
        </w:rPr>
        <w:t xml:space="preserve">, we attempt to make the treatment and control group as identical as possible by using </w:t>
      </w:r>
      <w:r w:rsidR="00127C27" w:rsidRPr="00732156">
        <w:rPr>
          <w:rFonts w:ascii="Times New Roman" w:hAnsi="Times New Roman" w:cs="Times New Roman"/>
          <w:sz w:val="24"/>
          <w:szCs w:val="24"/>
        </w:rPr>
        <w:t>C</w:t>
      </w:r>
      <w:r w:rsidRPr="00732156">
        <w:rPr>
          <w:rFonts w:ascii="Times New Roman" w:hAnsi="Times New Roman" w:cs="Times New Roman"/>
          <w:sz w:val="24"/>
          <w:szCs w:val="24"/>
        </w:rPr>
        <w:t xml:space="preserve">oarsened </w:t>
      </w:r>
      <w:r w:rsidR="00127C27" w:rsidRPr="00732156">
        <w:rPr>
          <w:rFonts w:ascii="Times New Roman" w:hAnsi="Times New Roman" w:cs="Times New Roman"/>
          <w:sz w:val="24"/>
          <w:szCs w:val="24"/>
        </w:rPr>
        <w:t>E</w:t>
      </w:r>
      <w:r w:rsidRPr="00732156">
        <w:rPr>
          <w:rFonts w:ascii="Times New Roman" w:hAnsi="Times New Roman" w:cs="Times New Roman"/>
          <w:sz w:val="24"/>
          <w:szCs w:val="24"/>
        </w:rPr>
        <w:t xml:space="preserve">xact </w:t>
      </w:r>
      <w:r w:rsidR="00127C27" w:rsidRPr="00732156">
        <w:rPr>
          <w:rFonts w:ascii="Times New Roman" w:hAnsi="Times New Roman" w:cs="Times New Roman"/>
          <w:sz w:val="24"/>
          <w:szCs w:val="24"/>
        </w:rPr>
        <w:t>M</w:t>
      </w:r>
      <w:r w:rsidRPr="00732156">
        <w:rPr>
          <w:rFonts w:ascii="Times New Roman" w:hAnsi="Times New Roman" w:cs="Times New Roman"/>
          <w:sz w:val="24"/>
          <w:szCs w:val="24"/>
        </w:rPr>
        <w:t>atching (CEM) (Iacus</w:t>
      </w:r>
      <w:r w:rsidR="008C01A4" w:rsidRPr="00732156">
        <w:rPr>
          <w:rFonts w:ascii="Times New Roman" w:hAnsi="Times New Roman" w:cs="Times New Roman"/>
          <w:sz w:val="24"/>
          <w:szCs w:val="24"/>
        </w:rPr>
        <w:t xml:space="preserve"> et al</w:t>
      </w:r>
      <w:r w:rsidRPr="00732156">
        <w:rPr>
          <w:rFonts w:ascii="Times New Roman" w:hAnsi="Times New Roman" w:cs="Times New Roman"/>
          <w:sz w:val="24"/>
          <w:szCs w:val="24"/>
        </w:rPr>
        <w:t xml:space="preserve"> 2012). CEM enables us to match the means and distributions of control variables between two country</w:t>
      </w:r>
      <w:r w:rsidR="00FA3C80" w:rsidRPr="00732156">
        <w:rPr>
          <w:rFonts w:ascii="Times New Roman" w:hAnsi="Times New Roman" w:cs="Times New Roman"/>
          <w:sz w:val="24"/>
          <w:szCs w:val="24"/>
        </w:rPr>
        <w:t>-year</w:t>
      </w:r>
      <w:r w:rsidRPr="00732156">
        <w:rPr>
          <w:rFonts w:ascii="Times New Roman" w:hAnsi="Times New Roman" w:cs="Times New Roman"/>
          <w:sz w:val="24"/>
          <w:szCs w:val="24"/>
        </w:rPr>
        <w:t xml:space="preserve"> groups</w:t>
      </w:r>
      <w:r w:rsidR="00E07BBE" w:rsidRPr="00732156">
        <w:rPr>
          <w:rFonts w:ascii="Times New Roman" w:hAnsi="Times New Roman" w:cs="Times New Roman"/>
          <w:sz w:val="24"/>
          <w:szCs w:val="24"/>
        </w:rPr>
        <w:t>,</w:t>
      </w:r>
      <w:r w:rsidRPr="00732156">
        <w:rPr>
          <w:rFonts w:ascii="Times New Roman" w:hAnsi="Times New Roman" w:cs="Times New Roman"/>
          <w:sz w:val="24"/>
          <w:szCs w:val="24"/>
        </w:rPr>
        <w:t xml:space="preserve"> except for the presence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E07BBE" w:rsidRPr="00732156">
        <w:rPr>
          <w:rFonts w:ascii="Times New Roman" w:hAnsi="Times New Roman" w:cs="Times New Roman"/>
          <w:sz w:val="24"/>
          <w:szCs w:val="24"/>
        </w:rPr>
        <w:t xml:space="preserve">The observed 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variables we use for matching are the same </w:t>
      </w:r>
      <w:r w:rsidR="00E07BBE" w:rsidRPr="00732156">
        <w:rPr>
          <w:rFonts w:ascii="Times New Roman" w:hAnsi="Times New Roman" w:cs="Times New Roman"/>
          <w:sz w:val="24"/>
          <w:szCs w:val="24"/>
        </w:rPr>
        <w:t xml:space="preserve">as in </w:t>
      </w:r>
      <w:r w:rsidR="00FA3C80" w:rsidRPr="00732156">
        <w:rPr>
          <w:rFonts w:ascii="Times New Roman" w:hAnsi="Times New Roman" w:cs="Times New Roman"/>
          <w:sz w:val="24"/>
          <w:szCs w:val="24"/>
        </w:rPr>
        <w:t>our previous models</w:t>
      </w:r>
      <w:r w:rsidR="00E07BBE" w:rsidRPr="00732156">
        <w:rPr>
          <w:rFonts w:ascii="Times New Roman" w:hAnsi="Times New Roman" w:cs="Times New Roman"/>
          <w:sz w:val="24"/>
          <w:szCs w:val="24"/>
        </w:rPr>
        <w:t>,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 as a binary variable. Through matching, 304 country-years without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07BBE" w:rsidRPr="00732156">
        <w:rPr>
          <w:rFonts w:ascii="Times New Roman" w:hAnsi="Times New Roman" w:cs="Times New Roman"/>
          <w:sz w:val="24"/>
          <w:szCs w:val="24"/>
        </w:rPr>
        <w:t xml:space="preserve">are 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reduced to 70 (control group), whereas 266 country-years with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E07BBE" w:rsidRPr="00732156">
        <w:rPr>
          <w:rFonts w:ascii="Times New Roman" w:hAnsi="Times New Roman" w:cs="Times New Roman"/>
          <w:sz w:val="24"/>
          <w:szCs w:val="24"/>
        </w:rPr>
        <w:t xml:space="preserve">are reduced </w:t>
      </w:r>
      <w:r w:rsidR="00FA3C80" w:rsidRPr="00732156">
        <w:rPr>
          <w:rFonts w:ascii="Times New Roman" w:hAnsi="Times New Roman" w:cs="Times New Roman"/>
          <w:sz w:val="24"/>
          <w:szCs w:val="24"/>
        </w:rPr>
        <w:t>to 44 (treatment group). We use this matching result to estimate the mean difference of emission intensity between two groups</w:t>
      </w:r>
      <w:r w:rsidR="00E07BBE" w:rsidRPr="00732156">
        <w:rPr>
          <w:rFonts w:ascii="Times New Roman" w:hAnsi="Times New Roman" w:cs="Times New Roman"/>
          <w:sz w:val="24"/>
          <w:szCs w:val="24"/>
        </w:rPr>
        <w:t>,</w:t>
      </w:r>
      <w:r w:rsidR="00FA3C80" w:rsidRPr="00732156">
        <w:rPr>
          <w:rFonts w:ascii="Times New Roman" w:hAnsi="Times New Roman" w:cs="Times New Roman"/>
          <w:sz w:val="24"/>
          <w:szCs w:val="24"/>
        </w:rPr>
        <w:t xml:space="preserve"> which is summarized in Table 6. </w:t>
      </w:r>
    </w:p>
    <w:p w14:paraId="5AD1B782" w14:textId="76461FEA" w:rsidR="00FA3C80" w:rsidRPr="00732156" w:rsidRDefault="00FA3C80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35B40" w14:textId="3CB0BA4B" w:rsidR="00FA3C80" w:rsidRPr="00732156" w:rsidRDefault="00FA3C80" w:rsidP="00922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t>Table 6.</w:t>
      </w:r>
      <w:r w:rsidRPr="00732156">
        <w:rPr>
          <w:rFonts w:ascii="Times New Roman" w:hAnsi="Times New Roman" w:cs="Times New Roman"/>
          <w:sz w:val="24"/>
          <w:szCs w:val="24"/>
        </w:rPr>
        <w:t xml:space="preserve"> The mean difference of emission intensity on CEM matched data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5"/>
        <w:gridCol w:w="4322"/>
      </w:tblGrid>
      <w:tr w:rsidR="00A95F0A" w:rsidRPr="00732156" w14:paraId="56154383" w14:textId="77777777" w:rsidTr="00A95F0A">
        <w:trPr>
          <w:trHeight w:val="560"/>
        </w:trPr>
        <w:tc>
          <w:tcPr>
            <w:tcW w:w="4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0DFC8B" w14:textId="58531644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9E27C1" w14:textId="2D2CDD32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b/>
                <w:sz w:val="24"/>
                <w:szCs w:val="24"/>
              </w:rPr>
              <w:t>Mean difference</w:t>
            </w:r>
          </w:p>
        </w:tc>
      </w:tr>
      <w:tr w:rsidR="00A95F0A" w:rsidRPr="00732156" w14:paraId="28407457" w14:textId="77777777" w:rsidTr="00A95F0A">
        <w:trPr>
          <w:trHeight w:val="1136"/>
        </w:trPr>
        <w:tc>
          <w:tcPr>
            <w:tcW w:w="4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025CED" w14:textId="2E5F1E62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  <w:p w14:paraId="08CBDCFF" w14:textId="4E86AF5D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(no control variables)</w:t>
            </w:r>
          </w:p>
        </w:tc>
        <w:tc>
          <w:tcPr>
            <w:tcW w:w="4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E8A3F9" w14:textId="77777777" w:rsidR="00A95F0A" w:rsidRPr="00732156" w:rsidRDefault="00A95F0A" w:rsidP="00FA3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-61.366</w:t>
            </w:r>
          </w:p>
          <w:p w14:paraId="0FE9E567" w14:textId="78C7339B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[-186.573,  63.8415]</w:t>
            </w:r>
          </w:p>
        </w:tc>
      </w:tr>
      <w:tr w:rsidR="00A95F0A" w:rsidRPr="00732156" w14:paraId="253AA097" w14:textId="77777777" w:rsidTr="00A95F0A">
        <w:trPr>
          <w:trHeight w:val="1136"/>
        </w:trPr>
        <w:tc>
          <w:tcPr>
            <w:tcW w:w="4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0D6FCB" w14:textId="121D5EF6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  <w:p w14:paraId="4BBBFB88" w14:textId="7D20D80D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(with control variables)</w:t>
            </w:r>
          </w:p>
        </w:tc>
        <w:tc>
          <w:tcPr>
            <w:tcW w:w="4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27C5C7" w14:textId="77777777" w:rsidR="00A95F0A" w:rsidRPr="00732156" w:rsidRDefault="00A95F0A" w:rsidP="00FA3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-26.644</w:t>
            </w:r>
          </w:p>
          <w:p w14:paraId="05AD66A7" w14:textId="59C77BC3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[-109.813,  56.524]</w:t>
            </w:r>
          </w:p>
        </w:tc>
      </w:tr>
      <w:tr w:rsidR="00A95F0A" w:rsidRPr="00732156" w14:paraId="72EC90FB" w14:textId="77777777" w:rsidTr="00A95F0A">
        <w:trPr>
          <w:trHeight w:val="1136"/>
        </w:trPr>
        <w:tc>
          <w:tcPr>
            <w:tcW w:w="4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8B0E10" w14:textId="0BD0B02E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Linear random effect model</w:t>
            </w:r>
          </w:p>
          <w:p w14:paraId="552F7D19" w14:textId="3409AACD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(with control variables)</w:t>
            </w:r>
          </w:p>
        </w:tc>
        <w:tc>
          <w:tcPr>
            <w:tcW w:w="4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D1993E" w14:textId="77777777" w:rsidR="00A95F0A" w:rsidRPr="00732156" w:rsidRDefault="00A95F0A" w:rsidP="00FA3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-38.590</w:t>
            </w:r>
          </w:p>
          <w:p w14:paraId="19DF036C" w14:textId="53EB73E7" w:rsidR="00A95F0A" w:rsidRPr="00732156" w:rsidRDefault="00A95F0A" w:rsidP="00922F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156">
              <w:rPr>
                <w:rFonts w:ascii="Times New Roman" w:hAnsi="Times New Roman" w:cs="Times New Roman"/>
                <w:sz w:val="24"/>
                <w:szCs w:val="24"/>
              </w:rPr>
              <w:t>[-42.988,  -34.193]</w:t>
            </w:r>
          </w:p>
        </w:tc>
      </w:tr>
    </w:tbl>
    <w:p w14:paraId="62E7ABEE" w14:textId="3C7885F5" w:rsidR="00FA3C80" w:rsidRPr="00732156" w:rsidRDefault="00A95F0A" w:rsidP="00327E4A">
      <w:pPr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732156">
        <w:rPr>
          <w:rFonts w:ascii="Times New Roman" w:hAnsi="Times New Roman" w:cs="Times New Roman"/>
          <w:sz w:val="20"/>
          <w:szCs w:val="24"/>
        </w:rPr>
        <w:t xml:space="preserve">* 95% confidence interval </w:t>
      </w:r>
      <w:r w:rsidR="00E07BBE" w:rsidRPr="00732156">
        <w:rPr>
          <w:rFonts w:ascii="Times New Roman" w:hAnsi="Times New Roman" w:cs="Times New Roman"/>
          <w:sz w:val="20"/>
          <w:szCs w:val="24"/>
        </w:rPr>
        <w:t xml:space="preserve">is shown </w:t>
      </w:r>
      <w:r w:rsidRPr="00732156">
        <w:rPr>
          <w:rFonts w:ascii="Times New Roman" w:hAnsi="Times New Roman" w:cs="Times New Roman"/>
          <w:sz w:val="20"/>
          <w:szCs w:val="24"/>
        </w:rPr>
        <w:t xml:space="preserve">in </w:t>
      </w:r>
      <w:r w:rsidR="00E07BBE" w:rsidRPr="00732156">
        <w:rPr>
          <w:rFonts w:ascii="Times New Roman" w:hAnsi="Times New Roman" w:cs="Times New Roman"/>
          <w:sz w:val="20"/>
          <w:szCs w:val="24"/>
        </w:rPr>
        <w:t xml:space="preserve">parentheses. </w:t>
      </w:r>
    </w:p>
    <w:p w14:paraId="6FB09DE1" w14:textId="77777777" w:rsidR="00A95F0A" w:rsidRPr="00732156" w:rsidRDefault="00A95F0A" w:rsidP="00327E4A">
      <w:pPr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14:paraId="33FF5110" w14:textId="10C75A16" w:rsidR="006F1398" w:rsidRPr="00732156" w:rsidRDefault="00A95F0A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92720" w:rsidRPr="00732156">
        <w:rPr>
          <w:rFonts w:ascii="Times New Roman" w:hAnsi="Times New Roman" w:cs="Times New Roman"/>
          <w:sz w:val="24"/>
          <w:szCs w:val="24"/>
        </w:rPr>
        <w:t>The mean difference of emission intensity on CEM matched data is negative and significant only in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 linear random effect model (-38.590). This suggests that if we reduce the model dependence, our data analysis confirms the effect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 on decoupling only if we assume 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792720" w:rsidRPr="00732156">
        <w:rPr>
          <w:rFonts w:ascii="Times New Roman" w:hAnsi="Times New Roman" w:cs="Times New Roman"/>
          <w:sz w:val="24"/>
          <w:szCs w:val="24"/>
        </w:rPr>
        <w:t>non-ho</w:t>
      </w:r>
      <w:r w:rsidR="008B23A3" w:rsidRPr="00732156">
        <w:rPr>
          <w:rFonts w:ascii="Times New Roman" w:hAnsi="Times New Roman" w:cs="Times New Roman"/>
          <w:sz w:val="24"/>
          <w:szCs w:val="24"/>
        </w:rPr>
        <w:t>m</w:t>
      </w:r>
      <w:r w:rsidR="00792720" w:rsidRPr="00732156">
        <w:rPr>
          <w:rFonts w:ascii="Times New Roman" w:hAnsi="Times New Roman" w:cs="Times New Roman"/>
          <w:sz w:val="24"/>
          <w:szCs w:val="24"/>
        </w:rPr>
        <w:t>ogen</w:t>
      </w:r>
      <w:r w:rsidR="008B23A3" w:rsidRPr="00732156">
        <w:rPr>
          <w:rFonts w:ascii="Times New Roman" w:hAnsi="Times New Roman" w:cs="Times New Roman"/>
          <w:sz w:val="24"/>
          <w:szCs w:val="24"/>
        </w:rPr>
        <w:t>e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ous treatment effect. That is, although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 in our data exhibits a similar design across countries (EU-ETS), its effect on decoupling might vary depending on the country-level contexts.</w:t>
      </w:r>
      <w:r w:rsidR="008842E5">
        <w:rPr>
          <w:rFonts w:ascii="Times New Roman" w:hAnsi="Times New Roman" w:cs="Times New Roman"/>
          <w:sz w:val="24"/>
          <w:szCs w:val="24"/>
        </w:rPr>
        <w:t xml:space="preserve"> For instance, some countries may have more energy-intensive industry sectors in their national economy while others may not, which may lead to the different impact of even the same EU-ETS on decoupling trends.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 This </w:t>
      </w:r>
      <w:r w:rsidR="00054748" w:rsidRPr="00732156">
        <w:rPr>
          <w:rFonts w:ascii="Times New Roman" w:hAnsi="Times New Roman" w:cs="Times New Roman"/>
          <w:sz w:val="24"/>
          <w:szCs w:val="24"/>
        </w:rPr>
        <w:t>necessitates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 future research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into </w:t>
      </w:r>
      <w:r w:rsidR="00792720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C55BD2" w:rsidRPr="00732156">
        <w:rPr>
          <w:rFonts w:ascii="Times New Roman" w:hAnsi="Times New Roman" w:cs="Times New Roman"/>
          <w:sz w:val="24"/>
          <w:szCs w:val="24"/>
        </w:rPr>
        <w:t>relationship between decoupling and a carbon pricing</w:t>
      </w:r>
      <w:r w:rsidR="00834D22" w:rsidRPr="00732156">
        <w:rPr>
          <w:rFonts w:ascii="Times New Roman" w:hAnsi="Times New Roman" w:cs="Times New Roman"/>
          <w:sz w:val="24"/>
          <w:szCs w:val="24"/>
        </w:rPr>
        <w:t>,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which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should </w:t>
      </w:r>
      <w:r w:rsidR="00C55BD2" w:rsidRPr="00732156">
        <w:rPr>
          <w:rFonts w:ascii="Times New Roman" w:hAnsi="Times New Roman" w:cs="Times New Roman"/>
          <w:sz w:val="24"/>
          <w:szCs w:val="24"/>
        </w:rPr>
        <w:t>consider how not only carbon pricing in general</w:t>
      </w:r>
      <w:r w:rsidR="00834D22" w:rsidRPr="00732156">
        <w:rPr>
          <w:rFonts w:ascii="Times New Roman" w:hAnsi="Times New Roman" w:cs="Times New Roman"/>
          <w:sz w:val="24"/>
          <w:szCs w:val="24"/>
        </w:rPr>
        <w:t>,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but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834D22" w:rsidRPr="00732156">
        <w:rPr>
          <w:rFonts w:ascii="Times New Roman" w:hAnsi="Times New Roman" w:cs="Times New Roman"/>
          <w:sz w:val="24"/>
          <w:szCs w:val="24"/>
        </w:rPr>
        <w:t>,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works differently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between different 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countries. </w:t>
      </w:r>
    </w:p>
    <w:p w14:paraId="1F491C2F" w14:textId="77777777" w:rsidR="00532595" w:rsidRPr="00732156" w:rsidRDefault="00532595" w:rsidP="00327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CB718" w14:textId="33337677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15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8C8F9C5" w14:textId="00AF000D" w:rsidR="002F0E6A" w:rsidRPr="00732156" w:rsidRDefault="00FF69ED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Decoupling </w:t>
      </w:r>
      <w:r w:rsidR="00834D22" w:rsidRPr="00732156">
        <w:rPr>
          <w:rFonts w:ascii="Times New Roman" w:hAnsi="Times New Roman" w:cs="Times New Roman"/>
          <w:sz w:val="24"/>
          <w:szCs w:val="24"/>
        </w:rPr>
        <w:t>is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the target for countries that aim to</w:t>
      </w:r>
      <w:r w:rsidRPr="00732156">
        <w:rPr>
          <w:rFonts w:ascii="Times New Roman" w:hAnsi="Times New Roman" w:cs="Times New Roman"/>
          <w:sz w:val="24"/>
          <w:szCs w:val="24"/>
        </w:rPr>
        <w:t xml:space="preserve"> both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achieve </w:t>
      </w:r>
      <w:r w:rsidRPr="00732156">
        <w:rPr>
          <w:rFonts w:ascii="Times New Roman" w:hAnsi="Times New Roman" w:cs="Times New Roman"/>
          <w:sz w:val="24"/>
          <w:szCs w:val="24"/>
        </w:rPr>
        <w:t xml:space="preserve">economic growth and </w:t>
      </w:r>
      <w:r w:rsidR="00834D22" w:rsidRPr="00732156">
        <w:rPr>
          <w:rFonts w:ascii="Times New Roman" w:hAnsi="Times New Roman" w:cs="Times New Roman"/>
          <w:sz w:val="24"/>
          <w:szCs w:val="24"/>
        </w:rPr>
        <w:t xml:space="preserve">reduce their </w:t>
      </w:r>
      <w:r w:rsidRPr="00732156">
        <w:rPr>
          <w:rFonts w:ascii="Times New Roman" w:hAnsi="Times New Roman" w:cs="Times New Roman"/>
          <w:sz w:val="24"/>
          <w:szCs w:val="24"/>
        </w:rPr>
        <w:t xml:space="preserve">GHG emissions.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However, not all countries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are achieving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decoupling. The analysis outcomes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presented here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suggest that countries </w:t>
      </w:r>
      <w:r w:rsidR="00813F72" w:rsidRPr="00732156">
        <w:rPr>
          <w:rFonts w:ascii="Times New Roman" w:hAnsi="Times New Roman" w:cs="Times New Roman"/>
          <w:sz w:val="24"/>
          <w:szCs w:val="24"/>
        </w:rPr>
        <w:t>that practice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both </w:t>
      </w:r>
      <w:r w:rsidR="00760A63">
        <w:rPr>
          <w:rFonts w:ascii="Times New Roman" w:hAnsi="Times New Roman" w:cs="Times New Roman"/>
          <w:sz w:val="24"/>
          <w:szCs w:val="24"/>
        </w:rPr>
        <w:t>emission trading</w:t>
      </w:r>
      <w:r w:rsidR="00760A6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and renewable energy adoption are likely to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achieve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strong decoupling. </w:t>
      </w:r>
      <w:r w:rsidR="00813F72" w:rsidRPr="00732156">
        <w:rPr>
          <w:rFonts w:ascii="Times New Roman" w:hAnsi="Times New Roman" w:cs="Times New Roman"/>
          <w:sz w:val="24"/>
          <w:szCs w:val="24"/>
        </w:rPr>
        <w:t>C</w:t>
      </w:r>
      <w:r w:rsidR="001D26AE" w:rsidRPr="00732156">
        <w:rPr>
          <w:rFonts w:ascii="Times New Roman" w:hAnsi="Times New Roman" w:cs="Times New Roman"/>
          <w:sz w:val="24"/>
          <w:szCs w:val="24"/>
        </w:rPr>
        <w:t>ountries with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a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high economic growth rate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but practice </w:t>
      </w:r>
      <w:r w:rsidR="001D26AE" w:rsidRPr="00732156">
        <w:rPr>
          <w:rFonts w:ascii="Times New Roman" w:hAnsi="Times New Roman" w:cs="Times New Roman"/>
          <w:sz w:val="24"/>
          <w:szCs w:val="24"/>
        </w:rPr>
        <w:t>fossil fuel adaption may achieve weak decoupling</w:t>
      </w:r>
      <w:r w:rsidR="00813F72" w:rsidRPr="00732156">
        <w:rPr>
          <w:rFonts w:ascii="Times New Roman" w:hAnsi="Times New Roman" w:cs="Times New Roman"/>
          <w:sz w:val="24"/>
          <w:szCs w:val="24"/>
        </w:rPr>
        <w:t>,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as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they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achieve a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lower emission intensity due to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their 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higher GDP growth. </w:t>
      </w:r>
      <w:r w:rsidR="00813F72" w:rsidRPr="00732156">
        <w:rPr>
          <w:rFonts w:ascii="Times New Roman" w:hAnsi="Times New Roman" w:cs="Times New Roman"/>
          <w:sz w:val="24"/>
          <w:szCs w:val="24"/>
        </w:rPr>
        <w:t>However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,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using </w:t>
      </w:r>
      <w:r w:rsidR="001D26AE" w:rsidRPr="00732156">
        <w:rPr>
          <w:rFonts w:ascii="Times New Roman" w:hAnsi="Times New Roman" w:cs="Times New Roman"/>
          <w:sz w:val="24"/>
          <w:szCs w:val="24"/>
        </w:rPr>
        <w:t>more fossil fuel in energy consumption inherently increase</w:t>
      </w:r>
      <w:r w:rsidR="00813F72" w:rsidRPr="00732156">
        <w:rPr>
          <w:rFonts w:ascii="Times New Roman" w:hAnsi="Times New Roman" w:cs="Times New Roman"/>
          <w:sz w:val="24"/>
          <w:szCs w:val="24"/>
        </w:rPr>
        <w:t>s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GHG emissions. </w:t>
      </w:r>
    </w:p>
    <w:p w14:paraId="0122E38C" w14:textId="3CE04B47" w:rsidR="001D26AE" w:rsidRDefault="00532595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1D26AE" w:rsidRPr="00732156">
        <w:rPr>
          <w:rFonts w:ascii="Times New Roman" w:hAnsi="Times New Roman" w:cs="Times New Roman"/>
          <w:sz w:val="24"/>
          <w:szCs w:val="24"/>
        </w:rPr>
        <w:t>This study contribute</w:t>
      </w:r>
      <w:r w:rsidR="00FC4A42" w:rsidRPr="00732156">
        <w:rPr>
          <w:rFonts w:ascii="Times New Roman" w:hAnsi="Times New Roman" w:cs="Times New Roman"/>
          <w:sz w:val="24"/>
          <w:szCs w:val="24"/>
        </w:rPr>
        <w:t>s</w:t>
      </w:r>
      <w:r w:rsidR="001D26AE" w:rsidRPr="00732156">
        <w:rPr>
          <w:rFonts w:ascii="Times New Roman" w:hAnsi="Times New Roman" w:cs="Times New Roman"/>
          <w:sz w:val="24"/>
          <w:szCs w:val="24"/>
        </w:rPr>
        <w:t xml:space="preserve"> to the literature of </w:t>
      </w:r>
      <w:r w:rsidR="008A32B1">
        <w:rPr>
          <w:rFonts w:ascii="Times New Roman" w:hAnsi="Times New Roman" w:cs="Times New Roman"/>
          <w:sz w:val="24"/>
          <w:szCs w:val="24"/>
        </w:rPr>
        <w:t>the political economy of climate change</w:t>
      </w:r>
      <w:r w:rsidR="009C65DC" w:rsidRPr="00732156">
        <w:rPr>
          <w:rFonts w:ascii="Times New Roman" w:hAnsi="Times New Roman" w:cs="Times New Roman"/>
          <w:sz w:val="24"/>
          <w:szCs w:val="24"/>
        </w:rPr>
        <w:t>, particularly decoupling and carbon pricing literature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, by posing questions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the variation in decoupling </w:t>
      </w:r>
      <w:r w:rsidR="00813F72" w:rsidRPr="00732156">
        <w:rPr>
          <w:rFonts w:ascii="Times New Roman" w:hAnsi="Times New Roman" w:cs="Times New Roman"/>
          <w:sz w:val="24"/>
          <w:szCs w:val="24"/>
        </w:rPr>
        <w:t xml:space="preserve">between different 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European countries. Theoretically, we propose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897B81" w:rsidRPr="00732156">
        <w:rPr>
          <w:rFonts w:ascii="Times New Roman" w:hAnsi="Times New Roman" w:cs="Times New Roman"/>
          <w:sz w:val="24"/>
          <w:szCs w:val="24"/>
        </w:rPr>
        <w:t>causal relation</w:t>
      </w:r>
      <w:r w:rsidR="008B23A3" w:rsidRPr="00732156">
        <w:rPr>
          <w:rFonts w:ascii="Times New Roman" w:hAnsi="Times New Roman" w:cs="Times New Roman"/>
          <w:sz w:val="24"/>
          <w:szCs w:val="24"/>
        </w:rPr>
        <w:t>ship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 between carbon pricing policies and decoupling. Carbon pricing was originally designed and implemented to reduce GHG emissions in a</w:t>
      </w:r>
      <w:r w:rsidR="00586395" w:rsidRPr="00732156">
        <w:rPr>
          <w:rFonts w:ascii="Times New Roman" w:hAnsi="Times New Roman" w:cs="Times New Roman"/>
          <w:sz w:val="24"/>
          <w:szCs w:val="24"/>
        </w:rPr>
        <w:t>n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 efficient manner (Tietenberg </w:t>
      </w:r>
      <w:r w:rsidR="008228B9" w:rsidRPr="00732156">
        <w:rPr>
          <w:rFonts w:ascii="Times New Roman" w:hAnsi="Times New Roman" w:cs="Times New Roman"/>
          <w:sz w:val="24"/>
          <w:szCs w:val="24"/>
        </w:rPr>
        <w:t>2013</w:t>
      </w:r>
      <w:r w:rsidR="00897B81" w:rsidRPr="00732156">
        <w:rPr>
          <w:rFonts w:ascii="Times New Roman" w:hAnsi="Times New Roman" w:cs="Times New Roman"/>
          <w:sz w:val="24"/>
          <w:szCs w:val="24"/>
        </w:rPr>
        <w:t>). Market</w:t>
      </w:r>
      <w:r w:rsidR="00586395" w:rsidRPr="00732156">
        <w:rPr>
          <w:rFonts w:ascii="Times New Roman" w:hAnsi="Times New Roman" w:cs="Times New Roman"/>
          <w:sz w:val="24"/>
          <w:szCs w:val="24"/>
        </w:rPr>
        <w:t>-based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 m</w:t>
      </w:r>
      <w:r w:rsidR="00586395" w:rsidRPr="00732156">
        <w:rPr>
          <w:rFonts w:ascii="Times New Roman" w:hAnsi="Times New Roman" w:cs="Times New Roman"/>
          <w:sz w:val="24"/>
          <w:szCs w:val="24"/>
        </w:rPr>
        <w:t>e</w:t>
      </w:r>
      <w:r w:rsidR="00897B81" w:rsidRPr="00732156">
        <w:rPr>
          <w:rFonts w:ascii="Times New Roman" w:hAnsi="Times New Roman" w:cs="Times New Roman"/>
          <w:sz w:val="24"/>
          <w:szCs w:val="24"/>
        </w:rPr>
        <w:t>ch</w:t>
      </w:r>
      <w:r w:rsidR="00586395" w:rsidRPr="00732156">
        <w:rPr>
          <w:rFonts w:ascii="Times New Roman" w:hAnsi="Times New Roman" w:cs="Times New Roman"/>
          <w:sz w:val="24"/>
          <w:szCs w:val="24"/>
        </w:rPr>
        <w:t>a</w:t>
      </w:r>
      <w:r w:rsidR="00897B81" w:rsidRPr="00732156">
        <w:rPr>
          <w:rFonts w:ascii="Times New Roman" w:hAnsi="Times New Roman" w:cs="Times New Roman"/>
          <w:sz w:val="24"/>
          <w:szCs w:val="24"/>
        </w:rPr>
        <w:t>nism</w:t>
      </w:r>
      <w:r w:rsidR="009C7F97" w:rsidRPr="00732156">
        <w:rPr>
          <w:rFonts w:ascii="Times New Roman" w:hAnsi="Times New Roman" w:cs="Times New Roman"/>
          <w:sz w:val="24"/>
          <w:szCs w:val="24"/>
        </w:rPr>
        <w:t>s</w:t>
      </w:r>
      <w:r w:rsidR="00897B81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grounded </w:t>
      </w:r>
      <w:r w:rsidR="00897B81" w:rsidRPr="00732156">
        <w:rPr>
          <w:rFonts w:ascii="Times New Roman" w:hAnsi="Times New Roman" w:cs="Times New Roman"/>
          <w:sz w:val="24"/>
          <w:szCs w:val="24"/>
        </w:rPr>
        <w:t>in carbon pricing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 facilitate innovation to mi</w:t>
      </w:r>
      <w:r w:rsidR="00C32A6C" w:rsidRPr="00732156">
        <w:rPr>
          <w:rFonts w:ascii="Times New Roman" w:hAnsi="Times New Roman" w:cs="Times New Roman"/>
          <w:sz w:val="24"/>
          <w:szCs w:val="24"/>
        </w:rPr>
        <w:t>t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igate climate impacts </w:t>
      </w:r>
      <w:r w:rsidR="00897B81" w:rsidRPr="00732156">
        <w:rPr>
          <w:rFonts w:ascii="Times New Roman" w:hAnsi="Times New Roman" w:cs="Times New Roman"/>
          <w:sz w:val="24"/>
          <w:szCs w:val="24"/>
        </w:rPr>
        <w:t>(Jenkins 201</w:t>
      </w:r>
      <w:r w:rsidR="00FC4A42" w:rsidRPr="00732156">
        <w:rPr>
          <w:rFonts w:ascii="Times New Roman" w:hAnsi="Times New Roman" w:cs="Times New Roman"/>
          <w:sz w:val="24"/>
          <w:szCs w:val="24"/>
        </w:rPr>
        <w:t>4</w:t>
      </w:r>
      <w:r w:rsidR="00897B81" w:rsidRPr="00732156">
        <w:rPr>
          <w:rFonts w:ascii="Times New Roman" w:hAnsi="Times New Roman" w:cs="Times New Roman"/>
          <w:sz w:val="24"/>
          <w:szCs w:val="24"/>
        </w:rPr>
        <w:t>).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In agreement with </w:t>
      </w:r>
      <w:r w:rsidR="00FC4A42" w:rsidRPr="00732156">
        <w:rPr>
          <w:rFonts w:ascii="Times New Roman" w:hAnsi="Times New Roman" w:cs="Times New Roman"/>
          <w:sz w:val="24"/>
          <w:szCs w:val="24"/>
        </w:rPr>
        <w:t>extant studies of</w:t>
      </w:r>
      <w:r w:rsidR="00760A63">
        <w:rPr>
          <w:rFonts w:ascii="Times New Roman" w:hAnsi="Times New Roman" w:cs="Times New Roman"/>
          <w:sz w:val="24"/>
          <w:szCs w:val="24"/>
        </w:rPr>
        <w:t xml:space="preserve"> the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 impact</w:t>
      </w:r>
      <w:r w:rsidR="00760A63">
        <w:rPr>
          <w:rFonts w:ascii="Times New Roman" w:hAnsi="Times New Roman" w:cs="Times New Roman"/>
          <w:sz w:val="24"/>
          <w:szCs w:val="24"/>
        </w:rPr>
        <w:t xml:space="preserve"> of emission trading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 on environmental efficacy, this study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finds 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that the adoption of </w:t>
      </w:r>
      <w:r w:rsidR="00760A63">
        <w:rPr>
          <w:rFonts w:ascii="Times New Roman" w:hAnsi="Times New Roman" w:cs="Times New Roman"/>
          <w:sz w:val="24"/>
          <w:szCs w:val="24"/>
        </w:rPr>
        <w:t>emission trading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 is a driver for decoupling. Empirically, by using panel data analysis with a series of model specification</w:t>
      </w:r>
      <w:r w:rsidR="008B23A3" w:rsidRPr="00732156">
        <w:rPr>
          <w:rFonts w:ascii="Times New Roman" w:hAnsi="Times New Roman" w:cs="Times New Roman"/>
          <w:sz w:val="24"/>
          <w:szCs w:val="24"/>
        </w:rPr>
        <w:t>s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, this study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tests this </w:t>
      </w:r>
      <w:r w:rsidR="00FC4A42" w:rsidRPr="00732156">
        <w:rPr>
          <w:rFonts w:ascii="Times New Roman" w:hAnsi="Times New Roman" w:cs="Times New Roman"/>
          <w:sz w:val="24"/>
          <w:szCs w:val="24"/>
        </w:rPr>
        <w:t xml:space="preserve">theoretical argument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for </w:t>
      </w:r>
      <w:r w:rsidR="009C65DC" w:rsidRPr="00732156">
        <w:rPr>
          <w:rFonts w:ascii="Times New Roman" w:hAnsi="Times New Roman" w:cs="Times New Roman"/>
          <w:sz w:val="24"/>
          <w:szCs w:val="24"/>
        </w:rPr>
        <w:t xml:space="preserve">European cases. Compared to existing literature with </w:t>
      </w:r>
      <w:r w:rsidR="009C65DC" w:rsidRPr="00732156">
        <w:rPr>
          <w:rFonts w:ascii="Times New Roman" w:hAnsi="Times New Roman" w:cs="Times New Roman"/>
          <w:sz w:val="24"/>
          <w:szCs w:val="24"/>
        </w:rPr>
        <w:lastRenderedPageBreak/>
        <w:t xml:space="preserve">a focus on a specific country, an industrial sector, or a company,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the </w:t>
      </w:r>
      <w:r w:rsidR="009C65DC" w:rsidRPr="00732156">
        <w:rPr>
          <w:rFonts w:ascii="Times New Roman" w:hAnsi="Times New Roman" w:cs="Times New Roman"/>
          <w:sz w:val="24"/>
          <w:szCs w:val="24"/>
        </w:rPr>
        <w:t xml:space="preserve">time-series and cross-section data analysis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presented here </w:t>
      </w:r>
      <w:r w:rsidR="009C65DC" w:rsidRPr="00732156">
        <w:rPr>
          <w:rFonts w:ascii="Times New Roman" w:hAnsi="Times New Roman" w:cs="Times New Roman"/>
          <w:sz w:val="24"/>
          <w:szCs w:val="24"/>
        </w:rPr>
        <w:t>empirically covers all European countries</w:t>
      </w:r>
      <w:r w:rsidR="009C7F97" w:rsidRPr="00732156">
        <w:rPr>
          <w:rFonts w:ascii="Times New Roman" w:hAnsi="Times New Roman" w:cs="Times New Roman"/>
          <w:sz w:val="24"/>
          <w:szCs w:val="24"/>
        </w:rPr>
        <w:t>,</w:t>
      </w:r>
      <w:r w:rsidR="009C65DC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across 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a </w:t>
      </w:r>
      <w:r w:rsidR="009C65DC" w:rsidRPr="00732156">
        <w:rPr>
          <w:rFonts w:ascii="Times New Roman" w:hAnsi="Times New Roman" w:cs="Times New Roman"/>
          <w:sz w:val="24"/>
          <w:szCs w:val="24"/>
        </w:rPr>
        <w:t>time period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of nineteen years</w:t>
      </w:r>
      <w:r w:rsidR="009C65DC" w:rsidRPr="00732156">
        <w:rPr>
          <w:rFonts w:ascii="Times New Roman" w:hAnsi="Times New Roman" w:cs="Times New Roman"/>
          <w:sz w:val="24"/>
          <w:szCs w:val="24"/>
        </w:rPr>
        <w:t xml:space="preserve">. </w:t>
      </w:r>
      <w:r w:rsidR="000F1824" w:rsidRPr="00732156">
        <w:rPr>
          <w:rFonts w:ascii="Times New Roman" w:hAnsi="Times New Roman" w:cs="Times New Roman"/>
          <w:sz w:val="24"/>
          <w:szCs w:val="24"/>
        </w:rPr>
        <w:t xml:space="preserve">Based on theoretical and empirical contributions, this study suggests that adopting </w:t>
      </w:r>
      <w:r w:rsidR="00760A63">
        <w:rPr>
          <w:rFonts w:ascii="Times New Roman" w:hAnsi="Times New Roman" w:cs="Times New Roman"/>
          <w:sz w:val="24"/>
          <w:szCs w:val="24"/>
        </w:rPr>
        <w:t>emission trading</w:t>
      </w:r>
      <w:r w:rsidR="000F1824" w:rsidRPr="00732156">
        <w:rPr>
          <w:rFonts w:ascii="Times New Roman" w:hAnsi="Times New Roman" w:cs="Times New Roman"/>
          <w:sz w:val="24"/>
          <w:szCs w:val="24"/>
        </w:rPr>
        <w:t xml:space="preserve"> is likely to achieve strong decoupling.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Increasing the </w:t>
      </w:r>
      <w:r w:rsidR="000F1824" w:rsidRPr="00732156">
        <w:rPr>
          <w:rFonts w:ascii="Times New Roman" w:hAnsi="Times New Roman" w:cs="Times New Roman"/>
          <w:sz w:val="24"/>
          <w:szCs w:val="24"/>
        </w:rPr>
        <w:t>adoption of renewable energy in the energy mix is also an effective measure for lowering emission intensity</w:t>
      </w:r>
      <w:r w:rsidR="009C7F97" w:rsidRPr="00732156">
        <w:rPr>
          <w:rFonts w:ascii="Times New Roman" w:hAnsi="Times New Roman" w:cs="Times New Roman"/>
          <w:sz w:val="24"/>
          <w:szCs w:val="24"/>
        </w:rPr>
        <w:t>,</w:t>
      </w:r>
      <w:r w:rsidR="000F1824" w:rsidRPr="00732156">
        <w:rPr>
          <w:rFonts w:ascii="Times New Roman" w:hAnsi="Times New Roman" w:cs="Times New Roman"/>
          <w:sz w:val="24"/>
          <w:szCs w:val="24"/>
        </w:rPr>
        <w:t xml:space="preserve"> as well as GHG emissions.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In addition, our estimation with </w:t>
      </w:r>
      <w:r w:rsidR="009C7F97" w:rsidRPr="00732156">
        <w:rPr>
          <w:rFonts w:ascii="Times New Roman" w:hAnsi="Times New Roman" w:cs="Times New Roman"/>
          <w:sz w:val="24"/>
          <w:szCs w:val="24"/>
        </w:rPr>
        <w:t>CEM-</w:t>
      </w:r>
      <w:r w:rsidR="00C55BD2" w:rsidRPr="00732156">
        <w:rPr>
          <w:rFonts w:ascii="Times New Roman" w:hAnsi="Times New Roman" w:cs="Times New Roman"/>
          <w:sz w:val="24"/>
          <w:szCs w:val="24"/>
        </w:rPr>
        <w:t>matched data suggests that similar design</w:t>
      </w:r>
      <w:r w:rsidR="009C7F97" w:rsidRPr="00732156">
        <w:rPr>
          <w:rFonts w:ascii="Times New Roman" w:hAnsi="Times New Roman" w:cs="Times New Roman"/>
          <w:sz w:val="24"/>
          <w:szCs w:val="24"/>
        </w:rPr>
        <w:t>s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of </w:t>
      </w:r>
      <w:r w:rsidR="00EF1F78" w:rsidRPr="00732156">
        <w:rPr>
          <w:rFonts w:ascii="Times New Roman" w:hAnsi="Times New Roman" w:cs="Times New Roman"/>
          <w:sz w:val="24"/>
          <w:szCs w:val="24"/>
        </w:rPr>
        <w:t>emission trading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may have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43E34" w:rsidRPr="00732156">
        <w:rPr>
          <w:rFonts w:ascii="Times New Roman" w:hAnsi="Times New Roman" w:cs="Times New Roman"/>
          <w:sz w:val="24"/>
          <w:szCs w:val="24"/>
        </w:rPr>
        <w:t xml:space="preserve">but positive </w:t>
      </w:r>
      <w:r w:rsidR="00C55BD2" w:rsidRPr="00732156">
        <w:rPr>
          <w:rFonts w:ascii="Times New Roman" w:hAnsi="Times New Roman" w:cs="Times New Roman"/>
          <w:sz w:val="24"/>
          <w:szCs w:val="24"/>
        </w:rPr>
        <w:t>impact</w:t>
      </w:r>
      <w:r w:rsidR="009C7F97" w:rsidRPr="00732156">
        <w:rPr>
          <w:rFonts w:ascii="Times New Roman" w:hAnsi="Times New Roman" w:cs="Times New Roman"/>
          <w:sz w:val="24"/>
          <w:szCs w:val="24"/>
        </w:rPr>
        <w:t>s</w:t>
      </w:r>
      <w:r w:rsidR="00C55BD2" w:rsidRPr="00732156">
        <w:rPr>
          <w:rFonts w:ascii="Times New Roman" w:hAnsi="Times New Roman" w:cs="Times New Roman"/>
          <w:sz w:val="24"/>
          <w:szCs w:val="24"/>
        </w:rPr>
        <w:t xml:space="preserve"> on decoupling across countries. </w:t>
      </w:r>
    </w:p>
    <w:p w14:paraId="32801155" w14:textId="127B1F98" w:rsidR="00FF69ED" w:rsidRPr="00732156" w:rsidRDefault="00760A63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824" w:rsidRPr="00732156">
        <w:rPr>
          <w:rFonts w:ascii="Times New Roman" w:hAnsi="Times New Roman" w:cs="Times New Roman"/>
          <w:sz w:val="24"/>
          <w:szCs w:val="24"/>
        </w:rPr>
        <w:t>Despite</w:t>
      </w:r>
      <w:r w:rsidR="008B23A3" w:rsidRPr="00732156">
        <w:rPr>
          <w:rFonts w:ascii="Times New Roman" w:hAnsi="Times New Roman" w:cs="Times New Roman"/>
          <w:sz w:val="24"/>
          <w:szCs w:val="24"/>
        </w:rPr>
        <w:t xml:space="preserve"> the</w:t>
      </w:r>
      <w:r w:rsidR="000F1824" w:rsidRPr="00732156">
        <w:rPr>
          <w:rFonts w:ascii="Times New Roman" w:hAnsi="Times New Roman" w:cs="Times New Roman"/>
          <w:sz w:val="24"/>
          <w:szCs w:val="24"/>
        </w:rPr>
        <w:t xml:space="preserve"> above contributions, future research would strengthen </w:t>
      </w:r>
      <w:r w:rsidR="006847A7" w:rsidRPr="00732156">
        <w:rPr>
          <w:rFonts w:ascii="Times New Roman" w:hAnsi="Times New Roman" w:cs="Times New Roman"/>
          <w:sz w:val="24"/>
          <w:szCs w:val="24"/>
        </w:rPr>
        <w:t>decoupling studies.</w:t>
      </w:r>
      <w:r w:rsidR="009B61B5" w:rsidRPr="00732156">
        <w:rPr>
          <w:rFonts w:ascii="Times New Roman" w:hAnsi="Times New Roman" w:cs="Times New Roman"/>
          <w:sz w:val="24"/>
          <w:szCs w:val="24"/>
        </w:rPr>
        <w:t xml:space="preserve"> Our result suggests that not all carbon pricing policies encourage decoupling.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 The utilization of sophisticated measures with stringency and price</w:t>
      </w:r>
      <w:r w:rsidR="009C7F97" w:rsidRPr="00732156">
        <w:rPr>
          <w:rFonts w:ascii="Times New Roman" w:hAnsi="Times New Roman" w:cs="Times New Roman"/>
          <w:sz w:val="24"/>
          <w:szCs w:val="24"/>
        </w:rPr>
        <w:t>s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 for carbon pricing policy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 may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result in 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nuanced outcomes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regarding </w:t>
      </w:r>
      <w:r w:rsidR="006847A7" w:rsidRPr="00732156">
        <w:rPr>
          <w:rFonts w:ascii="Times New Roman" w:hAnsi="Times New Roman" w:cs="Times New Roman"/>
          <w:sz w:val="24"/>
          <w:szCs w:val="24"/>
        </w:rPr>
        <w:t>carbon pricing effects.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Above 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all, we point to the weakness of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for </w:t>
      </w:r>
      <w:r w:rsidR="00586395" w:rsidRPr="00732156">
        <w:rPr>
          <w:rFonts w:ascii="Times New Roman" w:hAnsi="Times New Roman" w:cs="Times New Roman"/>
          <w:sz w:val="24"/>
          <w:szCs w:val="24"/>
        </w:rPr>
        <w:t>promoting decoupling</w:t>
      </w:r>
      <w:r w:rsidR="009C7F97" w:rsidRPr="00732156">
        <w:rPr>
          <w:rFonts w:ascii="Times New Roman" w:hAnsi="Times New Roman" w:cs="Times New Roman"/>
          <w:sz w:val="24"/>
          <w:szCs w:val="24"/>
        </w:rPr>
        <w:t>,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when compared to emission trading. </w:t>
      </w:r>
      <w:r w:rsidR="009C7F97" w:rsidRPr="00732156">
        <w:rPr>
          <w:rFonts w:ascii="Times New Roman" w:hAnsi="Times New Roman" w:cs="Times New Roman"/>
          <w:sz w:val="24"/>
          <w:szCs w:val="24"/>
        </w:rPr>
        <w:t>F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uture </w:t>
      </w:r>
      <w:r w:rsidR="009C7F97" w:rsidRPr="00732156">
        <w:rPr>
          <w:rFonts w:ascii="Times New Roman" w:hAnsi="Times New Roman" w:cs="Times New Roman"/>
          <w:sz w:val="24"/>
          <w:szCs w:val="24"/>
        </w:rPr>
        <w:t>studies could explore the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different policy components of </w:t>
      </w:r>
      <w:r w:rsidR="00267405" w:rsidRPr="00732156">
        <w:rPr>
          <w:rFonts w:ascii="Times New Roman" w:hAnsi="Times New Roman" w:cs="Times New Roman"/>
          <w:sz w:val="24"/>
          <w:szCs w:val="24"/>
        </w:rPr>
        <w:t>carbon tax</w:t>
      </w:r>
      <w:r w:rsidR="009C7F97" w:rsidRPr="00732156">
        <w:rPr>
          <w:rFonts w:ascii="Times New Roman" w:hAnsi="Times New Roman" w:cs="Times New Roman"/>
          <w:sz w:val="24"/>
          <w:szCs w:val="24"/>
        </w:rPr>
        <w:t>,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and how their presence </w:t>
      </w:r>
      <w:r w:rsidR="009C7F97" w:rsidRPr="00732156">
        <w:rPr>
          <w:rFonts w:ascii="Times New Roman" w:hAnsi="Times New Roman" w:cs="Times New Roman"/>
          <w:sz w:val="24"/>
          <w:szCs w:val="24"/>
        </w:rPr>
        <w:t>varies</w:t>
      </w:r>
      <w:r w:rsidR="00586395" w:rsidRPr="00732156">
        <w:rPr>
          <w:rFonts w:ascii="Times New Roman" w:hAnsi="Times New Roman" w:cs="Times New Roman"/>
          <w:sz w:val="24"/>
          <w:szCs w:val="24"/>
        </w:rPr>
        <w:t xml:space="preserve"> its estimated effect on decoupling. 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Empirically, </w:t>
      </w:r>
      <w:r w:rsidR="009C7F97" w:rsidRPr="00732156">
        <w:rPr>
          <w:rFonts w:ascii="Times New Roman" w:hAnsi="Times New Roman" w:cs="Times New Roman"/>
          <w:sz w:val="24"/>
          <w:szCs w:val="24"/>
        </w:rPr>
        <w:t xml:space="preserve">extending this analysis </w:t>
      </w:r>
      <w:r w:rsidR="00FF69ED" w:rsidRPr="00732156">
        <w:rPr>
          <w:rFonts w:ascii="Times New Roman" w:hAnsi="Times New Roman" w:cs="Times New Roman"/>
          <w:sz w:val="24"/>
          <w:szCs w:val="24"/>
        </w:rPr>
        <w:t>to other region</w:t>
      </w:r>
      <w:r w:rsidR="006847A7" w:rsidRPr="00732156">
        <w:rPr>
          <w:rFonts w:ascii="Times New Roman" w:hAnsi="Times New Roman" w:cs="Times New Roman"/>
          <w:sz w:val="24"/>
          <w:szCs w:val="24"/>
        </w:rPr>
        <w:t>s</w:t>
      </w:r>
      <w:r w:rsidR="00FF69ED" w:rsidRPr="00732156">
        <w:rPr>
          <w:rFonts w:ascii="Times New Roman" w:hAnsi="Times New Roman" w:cs="Times New Roman"/>
          <w:sz w:val="24"/>
          <w:szCs w:val="24"/>
        </w:rPr>
        <w:t xml:space="preserve"> and countries </w:t>
      </w:r>
      <w:r w:rsidR="006847A7" w:rsidRPr="00732156">
        <w:rPr>
          <w:rFonts w:ascii="Times New Roman" w:hAnsi="Times New Roman" w:cs="Times New Roman"/>
          <w:sz w:val="24"/>
          <w:szCs w:val="24"/>
        </w:rPr>
        <w:t>would generalize the suggested findings. This would be specifically beneficial for those countries to design and implement carbon pricing policies to promote economic growth</w:t>
      </w:r>
      <w:r w:rsidR="009C7F97" w:rsidRPr="00732156">
        <w:rPr>
          <w:rFonts w:ascii="Times New Roman" w:hAnsi="Times New Roman" w:cs="Times New Roman"/>
          <w:sz w:val="24"/>
          <w:szCs w:val="24"/>
        </w:rPr>
        <w:t>,</w:t>
      </w:r>
      <w:r w:rsidR="006847A7" w:rsidRPr="00732156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A5520" w:rsidRPr="00732156">
        <w:rPr>
          <w:rFonts w:ascii="Times New Roman" w:hAnsi="Times New Roman" w:cs="Times New Roman"/>
          <w:sz w:val="24"/>
          <w:szCs w:val="24"/>
        </w:rPr>
        <w:t xml:space="preserve">reduce </w:t>
      </w:r>
      <w:r w:rsidR="006847A7" w:rsidRPr="00732156">
        <w:rPr>
          <w:rFonts w:ascii="Times New Roman" w:hAnsi="Times New Roman" w:cs="Times New Roman"/>
          <w:sz w:val="24"/>
          <w:szCs w:val="24"/>
        </w:rPr>
        <w:t>GHG emission</w:t>
      </w:r>
      <w:r w:rsidR="00CA5520" w:rsidRPr="00732156">
        <w:rPr>
          <w:rFonts w:ascii="Times New Roman" w:hAnsi="Times New Roman" w:cs="Times New Roman"/>
          <w:sz w:val="24"/>
          <w:szCs w:val="24"/>
        </w:rPr>
        <w:t>s</w:t>
      </w:r>
      <w:r w:rsidR="006847A7" w:rsidRPr="00732156">
        <w:rPr>
          <w:rFonts w:ascii="Times New Roman" w:hAnsi="Times New Roman" w:cs="Times New Roman"/>
          <w:sz w:val="24"/>
          <w:szCs w:val="24"/>
        </w:rPr>
        <w:t>.</w:t>
      </w:r>
    </w:p>
    <w:p w14:paraId="7625A871" w14:textId="10103A13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BF618" w14:textId="77777777" w:rsidR="002F0E6A" w:rsidRPr="00732156" w:rsidRDefault="002F0E6A" w:rsidP="002F0E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2156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EDCBC54" w14:textId="4521357F" w:rsidR="00021E25" w:rsidRPr="00732156" w:rsidRDefault="00842B84" w:rsidP="00021E25">
      <w:pPr>
        <w:pStyle w:val="EndNoteBibliography"/>
        <w:spacing w:after="0"/>
        <w:ind w:left="720" w:hanging="720"/>
        <w:rPr>
          <w:rStyle w:val="a6"/>
          <w:rFonts w:ascii="Times New Roman" w:hAnsi="Times New Roman" w:cs="Times New Roman"/>
          <w:noProof w:val="0"/>
          <w:color w:val="auto"/>
          <w:u w:val="none"/>
        </w:rPr>
      </w:pPr>
      <w:r w:rsidRPr="00732156">
        <w:rPr>
          <w:rFonts w:ascii="Times New Roman" w:hAnsi="Times New Roman" w:cs="Times New Roman"/>
          <w:noProof w:val="0"/>
          <w:sz w:val="24"/>
          <w:szCs w:val="24"/>
        </w:rPr>
        <w:fldChar w:fldCharType="begin"/>
      </w:r>
      <w:r w:rsidR="00D64E7B" w:rsidRPr="00732156">
        <w:rPr>
          <w:rFonts w:ascii="Times New Roman" w:hAnsi="Times New Roman" w:cs="Times New Roman"/>
          <w:noProof w:val="0"/>
          <w:sz w:val="24"/>
          <w:szCs w:val="24"/>
        </w:rPr>
        <w:instrText xml:space="preserve"> ADDIN EN.REFLIST </w:instrText>
      </w:r>
      <w:r w:rsidRPr="00732156">
        <w:rPr>
          <w:rFonts w:ascii="Times New Roman" w:hAnsi="Times New Roman" w:cs="Times New Roman"/>
          <w:noProof w:val="0"/>
          <w:sz w:val="24"/>
          <w:szCs w:val="24"/>
        </w:rPr>
        <w:fldChar w:fldCharType="separate"/>
      </w:r>
      <w:r w:rsidR="00021E25" w:rsidRPr="00732156">
        <w:rPr>
          <w:rFonts w:ascii="Times New Roman" w:hAnsi="Times New Roman" w:cs="Times New Roman"/>
          <w:noProof w:val="0"/>
        </w:rPr>
        <w:t>Andreoni, V</w:t>
      </w:r>
      <w:r w:rsidR="006C15E3" w:rsidRPr="00732156">
        <w:rPr>
          <w:rFonts w:ascii="Times New Roman" w:hAnsi="Times New Roman" w:cs="Times New Roman"/>
          <w:noProof w:val="0"/>
        </w:rPr>
        <w:t>aleria</w:t>
      </w:r>
      <w:r w:rsidR="00021E25" w:rsidRPr="00732156">
        <w:rPr>
          <w:rFonts w:ascii="Times New Roman" w:hAnsi="Times New Roman" w:cs="Times New Roman"/>
          <w:noProof w:val="0"/>
        </w:rPr>
        <w:t xml:space="preserve">, </w:t>
      </w:r>
      <w:r w:rsidR="006C15E3" w:rsidRPr="00732156">
        <w:rPr>
          <w:rFonts w:ascii="Times New Roman" w:hAnsi="Times New Roman" w:cs="Times New Roman"/>
          <w:noProof w:val="0"/>
        </w:rPr>
        <w:t>and</w:t>
      </w:r>
      <w:r w:rsidR="00021E25" w:rsidRPr="00732156">
        <w:rPr>
          <w:rFonts w:ascii="Times New Roman" w:hAnsi="Times New Roman" w:cs="Times New Roman"/>
          <w:noProof w:val="0"/>
        </w:rPr>
        <w:t xml:space="preserve"> </w:t>
      </w:r>
      <w:r w:rsidR="006C15E3" w:rsidRPr="00732156">
        <w:rPr>
          <w:rFonts w:ascii="Times New Roman" w:hAnsi="Times New Roman" w:cs="Times New Roman"/>
          <w:noProof w:val="0"/>
        </w:rPr>
        <w:t>Stefano Galmarini.</w:t>
      </w:r>
      <w:r w:rsidR="00021E25" w:rsidRPr="00732156">
        <w:rPr>
          <w:rFonts w:ascii="Times New Roman" w:hAnsi="Times New Roman" w:cs="Times New Roman"/>
          <w:noProof w:val="0"/>
        </w:rPr>
        <w:t xml:space="preserve"> 2012. Decoupling </w:t>
      </w:r>
      <w:r w:rsidR="006C15E3" w:rsidRPr="00732156">
        <w:rPr>
          <w:rFonts w:ascii="Times New Roman" w:hAnsi="Times New Roman" w:cs="Times New Roman"/>
          <w:noProof w:val="0"/>
        </w:rPr>
        <w:t>E</w:t>
      </w:r>
      <w:r w:rsidR="00021E25" w:rsidRPr="00732156">
        <w:rPr>
          <w:rFonts w:ascii="Times New Roman" w:hAnsi="Times New Roman" w:cs="Times New Roman"/>
          <w:noProof w:val="0"/>
        </w:rPr>
        <w:t xml:space="preserve">conomic </w:t>
      </w:r>
      <w:r w:rsidR="006C15E3" w:rsidRPr="00732156">
        <w:rPr>
          <w:rFonts w:ascii="Times New Roman" w:hAnsi="Times New Roman" w:cs="Times New Roman"/>
          <w:noProof w:val="0"/>
        </w:rPr>
        <w:t>G</w:t>
      </w:r>
      <w:r w:rsidR="00021E25" w:rsidRPr="00732156">
        <w:rPr>
          <w:rFonts w:ascii="Times New Roman" w:hAnsi="Times New Roman" w:cs="Times New Roman"/>
          <w:noProof w:val="0"/>
        </w:rPr>
        <w:t xml:space="preserve">rowth from </w:t>
      </w:r>
      <w:r w:rsidR="006C15E3" w:rsidRPr="00732156">
        <w:rPr>
          <w:rFonts w:ascii="Times New Roman" w:hAnsi="Times New Roman" w:cs="Times New Roman"/>
          <w:noProof w:val="0"/>
        </w:rPr>
        <w:t>C</w:t>
      </w:r>
      <w:r w:rsidR="00021E25" w:rsidRPr="00732156">
        <w:rPr>
          <w:rFonts w:ascii="Times New Roman" w:hAnsi="Times New Roman" w:cs="Times New Roman"/>
          <w:noProof w:val="0"/>
        </w:rPr>
        <w:t xml:space="preserve">arbon </w:t>
      </w:r>
      <w:r w:rsidR="006C15E3" w:rsidRPr="00732156">
        <w:rPr>
          <w:rFonts w:ascii="Times New Roman" w:hAnsi="Times New Roman" w:cs="Times New Roman"/>
          <w:noProof w:val="0"/>
        </w:rPr>
        <w:t>Di</w:t>
      </w:r>
      <w:r w:rsidR="00021E25" w:rsidRPr="00732156">
        <w:rPr>
          <w:rFonts w:ascii="Times New Roman" w:hAnsi="Times New Roman" w:cs="Times New Roman"/>
          <w:noProof w:val="0"/>
        </w:rPr>
        <w:t xml:space="preserve">oxide </w:t>
      </w:r>
      <w:r w:rsidR="006C15E3" w:rsidRPr="00732156">
        <w:rPr>
          <w:rFonts w:ascii="Times New Roman" w:hAnsi="Times New Roman" w:cs="Times New Roman"/>
          <w:noProof w:val="0"/>
        </w:rPr>
        <w:t>E</w:t>
      </w:r>
      <w:r w:rsidR="00021E25" w:rsidRPr="00732156">
        <w:rPr>
          <w:rFonts w:ascii="Times New Roman" w:hAnsi="Times New Roman" w:cs="Times New Roman"/>
          <w:noProof w:val="0"/>
        </w:rPr>
        <w:t xml:space="preserve">missions: A </w:t>
      </w:r>
      <w:r w:rsidR="006C15E3" w:rsidRPr="00732156">
        <w:rPr>
          <w:rFonts w:ascii="Times New Roman" w:hAnsi="Times New Roman" w:cs="Times New Roman"/>
          <w:noProof w:val="0"/>
        </w:rPr>
        <w:t>D</w:t>
      </w:r>
      <w:r w:rsidR="00021E25" w:rsidRPr="00732156">
        <w:rPr>
          <w:rFonts w:ascii="Times New Roman" w:hAnsi="Times New Roman" w:cs="Times New Roman"/>
          <w:noProof w:val="0"/>
        </w:rPr>
        <w:t xml:space="preserve">ecomposition </w:t>
      </w:r>
      <w:r w:rsidR="006C15E3" w:rsidRPr="00732156">
        <w:rPr>
          <w:rFonts w:ascii="Times New Roman" w:hAnsi="Times New Roman" w:cs="Times New Roman"/>
          <w:noProof w:val="0"/>
        </w:rPr>
        <w:t>A</w:t>
      </w:r>
      <w:r w:rsidR="00021E25" w:rsidRPr="00732156">
        <w:rPr>
          <w:rFonts w:ascii="Times New Roman" w:hAnsi="Times New Roman" w:cs="Times New Roman"/>
          <w:noProof w:val="0"/>
        </w:rPr>
        <w:t xml:space="preserve">nalysis of Italian </w:t>
      </w:r>
      <w:r w:rsidR="006C15E3" w:rsidRPr="00732156">
        <w:rPr>
          <w:rFonts w:ascii="Times New Roman" w:hAnsi="Times New Roman" w:cs="Times New Roman"/>
          <w:noProof w:val="0"/>
        </w:rPr>
        <w:t>E</w:t>
      </w:r>
      <w:r w:rsidR="00021E25" w:rsidRPr="00732156">
        <w:rPr>
          <w:rFonts w:ascii="Times New Roman" w:hAnsi="Times New Roman" w:cs="Times New Roman"/>
          <w:noProof w:val="0"/>
        </w:rPr>
        <w:t xml:space="preserve">nergy </w:t>
      </w:r>
      <w:r w:rsidR="006C15E3" w:rsidRPr="00732156">
        <w:rPr>
          <w:rFonts w:ascii="Times New Roman" w:hAnsi="Times New Roman" w:cs="Times New Roman"/>
          <w:noProof w:val="0"/>
        </w:rPr>
        <w:t>C</w:t>
      </w:r>
      <w:r w:rsidR="00021E25" w:rsidRPr="00732156">
        <w:rPr>
          <w:rFonts w:ascii="Times New Roman" w:hAnsi="Times New Roman" w:cs="Times New Roman"/>
          <w:noProof w:val="0"/>
        </w:rPr>
        <w:t xml:space="preserve">onsumption. </w:t>
      </w:r>
      <w:r w:rsidR="00021E25" w:rsidRPr="00732156">
        <w:rPr>
          <w:rFonts w:ascii="Times New Roman" w:hAnsi="Times New Roman" w:cs="Times New Roman"/>
          <w:i/>
          <w:noProof w:val="0"/>
        </w:rPr>
        <w:t xml:space="preserve">Energy </w:t>
      </w:r>
      <w:r w:rsidR="00021E25" w:rsidRPr="00732156">
        <w:rPr>
          <w:rFonts w:ascii="Times New Roman" w:hAnsi="Times New Roman" w:cs="Times New Roman"/>
          <w:iCs/>
          <w:noProof w:val="0"/>
        </w:rPr>
        <w:t>44</w:t>
      </w:r>
      <w:r w:rsidR="006C15E3" w:rsidRPr="00732156">
        <w:rPr>
          <w:rFonts w:ascii="Times New Roman" w:hAnsi="Times New Roman" w:cs="Times New Roman"/>
          <w:iCs/>
          <w:noProof w:val="0"/>
        </w:rPr>
        <w:t xml:space="preserve"> </w:t>
      </w:r>
      <w:r w:rsidR="00021E25" w:rsidRPr="00732156">
        <w:rPr>
          <w:rFonts w:ascii="Times New Roman" w:hAnsi="Times New Roman" w:cs="Times New Roman"/>
          <w:iCs/>
          <w:noProof w:val="0"/>
        </w:rPr>
        <w:t>(1)</w:t>
      </w:r>
      <w:r w:rsidR="006C15E3" w:rsidRPr="00732156">
        <w:rPr>
          <w:rFonts w:ascii="Times New Roman" w:hAnsi="Times New Roman" w:cs="Times New Roman"/>
          <w:noProof w:val="0"/>
        </w:rPr>
        <w:t>:</w:t>
      </w:r>
      <w:r w:rsidR="00021E25" w:rsidRPr="00732156">
        <w:rPr>
          <w:rFonts w:ascii="Times New Roman" w:hAnsi="Times New Roman" w:cs="Times New Roman"/>
          <w:noProof w:val="0"/>
        </w:rPr>
        <w:t xml:space="preserve"> 682-691.</w:t>
      </w:r>
    </w:p>
    <w:p w14:paraId="21A347F0" w14:textId="34D1498F" w:rsidR="00532595" w:rsidRPr="00732156" w:rsidRDefault="00532595" w:rsidP="00021E25">
      <w:pPr>
        <w:pStyle w:val="EndNoteBibliography"/>
        <w:spacing w:after="0"/>
        <w:ind w:left="720" w:hanging="720"/>
        <w:rPr>
          <w:rStyle w:val="a6"/>
          <w:rFonts w:ascii="Times New Roman" w:hAnsi="Times New Roman" w:cs="Times New Roman"/>
          <w:noProof w:val="0"/>
          <w:color w:val="auto"/>
          <w:u w:val="none"/>
        </w:rPr>
      </w:pP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Allan, G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rant,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Patrizio Lecca,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Peter McGregor, and Kim Swales.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2014. The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E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conomic and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E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nvironmental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I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mpact of a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C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arbon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T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ax for Scotland: A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C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omputable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G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eneral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E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quilibrium 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A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nalysis. </w:t>
      </w:r>
      <w:r w:rsidRPr="00732156">
        <w:rPr>
          <w:rStyle w:val="a6"/>
          <w:rFonts w:ascii="Times New Roman" w:hAnsi="Times New Roman" w:cs="Times New Roman"/>
          <w:i/>
          <w:iCs/>
          <w:noProof w:val="0"/>
          <w:color w:val="auto"/>
          <w:u w:val="none"/>
        </w:rPr>
        <w:t xml:space="preserve">Ecological Economics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100</w:t>
      </w:r>
      <w:r w:rsidR="006C15E3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:</w:t>
      </w:r>
      <w:r w:rsidRPr="00732156">
        <w:rPr>
          <w:rStyle w:val="a6"/>
          <w:rFonts w:ascii="Times New Roman" w:hAnsi="Times New Roman" w:cs="Times New Roman"/>
          <w:i/>
          <w:iCs/>
          <w:noProof w:val="0"/>
          <w:color w:val="auto"/>
          <w:u w:val="none"/>
        </w:rPr>
        <w:t xml:space="preserve">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40-50.</w:t>
      </w:r>
    </w:p>
    <w:p w14:paraId="1B7B3E1C" w14:textId="5926DB97" w:rsidR="006B0883" w:rsidRPr="00732156" w:rsidRDefault="006B0883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Bell, A</w:t>
      </w:r>
      <w:r w:rsidR="006C15E3" w:rsidRPr="00732156">
        <w:rPr>
          <w:rFonts w:ascii="Times New Roman" w:hAnsi="Times New Roman" w:cs="Times New Roman"/>
          <w:noProof w:val="0"/>
        </w:rPr>
        <w:t>ndrew</w:t>
      </w:r>
      <w:r w:rsidRPr="00732156">
        <w:rPr>
          <w:rFonts w:ascii="Times New Roman" w:hAnsi="Times New Roman" w:cs="Times New Roman"/>
          <w:noProof w:val="0"/>
        </w:rPr>
        <w:t xml:space="preserve">, </w:t>
      </w:r>
      <w:r w:rsidR="006C15E3" w:rsidRPr="00732156">
        <w:rPr>
          <w:rFonts w:ascii="Times New Roman" w:hAnsi="Times New Roman" w:cs="Times New Roman"/>
          <w:noProof w:val="0"/>
        </w:rPr>
        <w:t>Malcom Fairbrother, and Kelvyn Jones</w:t>
      </w:r>
      <w:r w:rsidRPr="00732156">
        <w:rPr>
          <w:rFonts w:ascii="Times New Roman" w:hAnsi="Times New Roman" w:cs="Times New Roman"/>
          <w:noProof w:val="0"/>
        </w:rPr>
        <w:t xml:space="preserve">. 2019. Fixed and </w:t>
      </w:r>
      <w:r w:rsidR="006C15E3" w:rsidRPr="00732156">
        <w:rPr>
          <w:rFonts w:ascii="Times New Roman" w:hAnsi="Times New Roman" w:cs="Times New Roman"/>
          <w:noProof w:val="0"/>
        </w:rPr>
        <w:t>R</w:t>
      </w:r>
      <w:r w:rsidRPr="00732156">
        <w:rPr>
          <w:rFonts w:ascii="Times New Roman" w:hAnsi="Times New Roman" w:cs="Times New Roman"/>
          <w:noProof w:val="0"/>
        </w:rPr>
        <w:t xml:space="preserve">andom </w:t>
      </w:r>
      <w:r w:rsidR="006C15E3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ffects </w:t>
      </w:r>
      <w:r w:rsidR="006C15E3" w:rsidRPr="00732156">
        <w:rPr>
          <w:rFonts w:ascii="Times New Roman" w:hAnsi="Times New Roman" w:cs="Times New Roman"/>
          <w:noProof w:val="0"/>
        </w:rPr>
        <w:t>M</w:t>
      </w:r>
      <w:r w:rsidRPr="00732156">
        <w:rPr>
          <w:rFonts w:ascii="Times New Roman" w:hAnsi="Times New Roman" w:cs="Times New Roman"/>
          <w:noProof w:val="0"/>
        </w:rPr>
        <w:t xml:space="preserve">odels: </w:t>
      </w:r>
      <w:r w:rsidR="006C15E3" w:rsidRPr="00732156">
        <w:rPr>
          <w:rFonts w:ascii="Times New Roman" w:hAnsi="Times New Roman" w:cs="Times New Roman"/>
          <w:noProof w:val="0"/>
        </w:rPr>
        <w:t>M</w:t>
      </w:r>
      <w:r w:rsidRPr="00732156">
        <w:rPr>
          <w:rFonts w:ascii="Times New Roman" w:hAnsi="Times New Roman" w:cs="Times New Roman"/>
          <w:noProof w:val="0"/>
        </w:rPr>
        <w:t xml:space="preserve">aking an </w:t>
      </w:r>
      <w:r w:rsidR="006C15E3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nformed </w:t>
      </w:r>
      <w:r w:rsidR="006C15E3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hoice. </w:t>
      </w:r>
      <w:r w:rsidRPr="00732156">
        <w:rPr>
          <w:rFonts w:ascii="Times New Roman" w:hAnsi="Times New Roman" w:cs="Times New Roman"/>
          <w:i/>
          <w:noProof w:val="0"/>
        </w:rPr>
        <w:t xml:space="preserve">Quality &amp; Quantity </w:t>
      </w:r>
      <w:r w:rsidRPr="00732156">
        <w:rPr>
          <w:rFonts w:ascii="Times New Roman" w:hAnsi="Times New Roman" w:cs="Times New Roman"/>
          <w:iCs/>
          <w:noProof w:val="0"/>
        </w:rPr>
        <w:t>53</w:t>
      </w:r>
      <w:r w:rsidR="006C15E3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(2)</w:t>
      </w:r>
      <w:r w:rsidR="006C15E3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1051-1074.</w:t>
      </w:r>
    </w:p>
    <w:p w14:paraId="0531B28B" w14:textId="78B4AC05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Boyce, J</w:t>
      </w:r>
      <w:r w:rsidR="004C0212" w:rsidRPr="00732156">
        <w:rPr>
          <w:rFonts w:ascii="Times New Roman" w:hAnsi="Times New Roman" w:cs="Times New Roman"/>
          <w:noProof w:val="0"/>
        </w:rPr>
        <w:t>ames</w:t>
      </w:r>
      <w:r w:rsidRPr="00732156">
        <w:rPr>
          <w:rFonts w:ascii="Times New Roman" w:hAnsi="Times New Roman" w:cs="Times New Roman"/>
          <w:noProof w:val="0"/>
        </w:rPr>
        <w:t xml:space="preserve"> K. 2018. Carbon Pricing: Effectiveness and Equity. </w:t>
      </w:r>
      <w:r w:rsidRPr="00732156">
        <w:rPr>
          <w:rFonts w:ascii="Times New Roman" w:hAnsi="Times New Roman" w:cs="Times New Roman"/>
          <w:i/>
          <w:noProof w:val="0"/>
        </w:rPr>
        <w:t>Ecological Economic</w:t>
      </w:r>
      <w:r w:rsidR="004C0212" w:rsidRPr="00732156">
        <w:rPr>
          <w:rFonts w:ascii="Times New Roman" w:hAnsi="Times New Roman" w:cs="Times New Roman"/>
          <w:i/>
          <w:noProof w:val="0"/>
        </w:rPr>
        <w:t>s</w:t>
      </w:r>
      <w:r w:rsidRPr="00732156">
        <w:rPr>
          <w:rFonts w:ascii="Times New Roman" w:hAnsi="Times New Roman" w:cs="Times New Roman"/>
          <w:i/>
          <w:noProof w:val="0"/>
        </w:rPr>
        <w:t xml:space="preserve"> </w:t>
      </w:r>
      <w:r w:rsidRPr="00732156">
        <w:rPr>
          <w:rFonts w:ascii="Times New Roman" w:hAnsi="Times New Roman" w:cs="Times New Roman"/>
          <w:iCs/>
          <w:noProof w:val="0"/>
        </w:rPr>
        <w:t>150</w:t>
      </w:r>
      <w:r w:rsidRPr="00732156">
        <w:rPr>
          <w:rFonts w:ascii="Times New Roman" w:hAnsi="Times New Roman" w:cs="Times New Roman"/>
          <w:noProof w:val="0"/>
        </w:rPr>
        <w:t xml:space="preserve"> 52-61.</w:t>
      </w:r>
    </w:p>
    <w:p w14:paraId="7C107636" w14:textId="6E237C2B" w:rsidR="00AF2655" w:rsidRPr="00732156" w:rsidRDefault="00AF265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B</w:t>
      </w:r>
      <w:r w:rsidR="004C0212" w:rsidRPr="00732156">
        <w:rPr>
          <w:rFonts w:ascii="Times New Roman" w:hAnsi="Times New Roman" w:cs="Times New Roman"/>
          <w:noProof w:val="0"/>
        </w:rPr>
        <w:t>aranzini, Andrea, José Goldemberg, and Stefan Speck</w:t>
      </w:r>
      <w:r w:rsidRPr="00732156">
        <w:rPr>
          <w:rFonts w:ascii="Times New Roman" w:hAnsi="Times New Roman" w:cs="Times New Roman"/>
          <w:noProof w:val="0"/>
        </w:rPr>
        <w:t xml:space="preserve">. 2000. A Future </w:t>
      </w:r>
      <w:r w:rsidR="006C15E3" w:rsidRPr="00732156">
        <w:rPr>
          <w:rFonts w:ascii="Times New Roman" w:hAnsi="Times New Roman" w:cs="Times New Roman"/>
          <w:noProof w:val="0"/>
        </w:rPr>
        <w:t>for Carbon Taxes</w:t>
      </w:r>
      <w:r w:rsidRPr="00732156">
        <w:rPr>
          <w:rFonts w:ascii="Times New Roman" w:hAnsi="Times New Roman" w:cs="Times New Roman"/>
          <w:noProof w:val="0"/>
        </w:rPr>
        <w:t xml:space="preserve">. </w:t>
      </w:r>
      <w:r w:rsidRPr="00732156">
        <w:rPr>
          <w:rFonts w:ascii="Times New Roman" w:hAnsi="Times New Roman" w:cs="Times New Roman"/>
          <w:i/>
          <w:iCs/>
          <w:noProof w:val="0"/>
        </w:rPr>
        <w:t>Ecological Economics</w:t>
      </w:r>
      <w:r w:rsidRPr="00732156">
        <w:rPr>
          <w:rFonts w:ascii="Times New Roman" w:hAnsi="Times New Roman" w:cs="Times New Roman"/>
          <w:noProof w:val="0"/>
        </w:rPr>
        <w:t xml:space="preserve"> 32</w:t>
      </w:r>
      <w:r w:rsidR="006C15E3" w:rsidRPr="00732156">
        <w:rPr>
          <w:rFonts w:ascii="Times New Roman" w:hAnsi="Times New Roman" w:cs="Times New Roman"/>
          <w:noProof w:val="0"/>
        </w:rPr>
        <w:t xml:space="preserve"> (3):</w:t>
      </w:r>
      <w:r w:rsidRPr="00732156">
        <w:rPr>
          <w:rFonts w:ascii="Times New Roman" w:hAnsi="Times New Roman" w:cs="Times New Roman"/>
          <w:noProof w:val="0"/>
        </w:rPr>
        <w:t xml:space="preserve"> 195-412.</w:t>
      </w:r>
    </w:p>
    <w:p w14:paraId="0D196E73" w14:textId="267D7F30" w:rsidR="00410539" w:rsidRPr="00732156" w:rsidRDefault="00410539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Clulow, Z</w:t>
      </w:r>
      <w:r w:rsidR="004C0212" w:rsidRPr="00732156">
        <w:rPr>
          <w:rFonts w:ascii="Times New Roman" w:hAnsi="Times New Roman" w:cs="Times New Roman"/>
          <w:noProof w:val="0"/>
        </w:rPr>
        <w:t>eynep</w:t>
      </w:r>
      <w:r w:rsidRPr="00732156">
        <w:rPr>
          <w:rFonts w:ascii="Times New Roman" w:hAnsi="Times New Roman" w:cs="Times New Roman"/>
          <w:noProof w:val="0"/>
        </w:rPr>
        <w:t xml:space="preserve">. 2016. When </w:t>
      </w:r>
      <w:r w:rsidR="004C0212" w:rsidRPr="00732156">
        <w:rPr>
          <w:rFonts w:ascii="Times New Roman" w:hAnsi="Times New Roman" w:cs="Times New Roman"/>
          <w:noProof w:val="0"/>
        </w:rPr>
        <w:t>D</w:t>
      </w:r>
      <w:r w:rsidRPr="00732156">
        <w:rPr>
          <w:rFonts w:ascii="Times New Roman" w:hAnsi="Times New Roman" w:cs="Times New Roman"/>
          <w:noProof w:val="0"/>
        </w:rPr>
        <w:t xml:space="preserve">oes </w:t>
      </w:r>
      <w:r w:rsidR="004C0212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conomic </w:t>
      </w:r>
      <w:r w:rsidR="004C0212" w:rsidRPr="00732156">
        <w:rPr>
          <w:rFonts w:ascii="Times New Roman" w:hAnsi="Times New Roman" w:cs="Times New Roman"/>
          <w:noProof w:val="0"/>
        </w:rPr>
        <w:t>D</w:t>
      </w:r>
      <w:r w:rsidRPr="00732156">
        <w:rPr>
          <w:rFonts w:ascii="Times New Roman" w:hAnsi="Times New Roman" w:cs="Times New Roman"/>
          <w:noProof w:val="0"/>
        </w:rPr>
        <w:t xml:space="preserve">evelopment </w:t>
      </w:r>
      <w:r w:rsidR="004C0212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romote </w:t>
      </w:r>
      <w:r w:rsidR="004C0212" w:rsidRPr="00732156">
        <w:rPr>
          <w:rFonts w:ascii="Times New Roman" w:hAnsi="Times New Roman" w:cs="Times New Roman"/>
          <w:noProof w:val="0"/>
        </w:rPr>
        <w:t>M</w:t>
      </w:r>
      <w:r w:rsidRPr="00732156">
        <w:rPr>
          <w:rFonts w:ascii="Times New Roman" w:hAnsi="Times New Roman" w:cs="Times New Roman"/>
          <w:noProof w:val="0"/>
        </w:rPr>
        <w:t xml:space="preserve">itigation and </w:t>
      </w:r>
      <w:r w:rsidR="004C0212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hy? </w:t>
      </w:r>
      <w:r w:rsidR="007D4E6A" w:rsidRPr="00732156">
        <w:rPr>
          <w:rFonts w:ascii="Times New Roman" w:hAnsi="Times New Roman" w:cs="Times New Roman"/>
          <w:i/>
          <w:noProof w:val="0"/>
        </w:rPr>
        <w:t xml:space="preserve">Climate Policy </w:t>
      </w:r>
      <w:r w:rsidR="007D4E6A" w:rsidRPr="00732156">
        <w:rPr>
          <w:rFonts w:ascii="Times New Roman" w:hAnsi="Times New Roman" w:cs="Times New Roman"/>
          <w:iCs/>
          <w:noProof w:val="0"/>
        </w:rPr>
        <w:t>18</w:t>
      </w:r>
      <w:r w:rsidR="004C0212" w:rsidRPr="00732156">
        <w:rPr>
          <w:rFonts w:ascii="Times New Roman" w:hAnsi="Times New Roman" w:cs="Times New Roman"/>
          <w:noProof w:val="0"/>
        </w:rPr>
        <w:t xml:space="preserve"> </w:t>
      </w:r>
      <w:r w:rsidR="007D4E6A" w:rsidRPr="00732156">
        <w:rPr>
          <w:rFonts w:ascii="Times New Roman" w:hAnsi="Times New Roman" w:cs="Times New Roman"/>
          <w:noProof w:val="0"/>
        </w:rPr>
        <w:t>(2)</w:t>
      </w:r>
      <w:r w:rsidR="004C0212" w:rsidRPr="00732156">
        <w:rPr>
          <w:rFonts w:ascii="Times New Roman" w:hAnsi="Times New Roman" w:cs="Times New Roman"/>
          <w:noProof w:val="0"/>
        </w:rPr>
        <w:t>:</w:t>
      </w:r>
      <w:r w:rsidR="007D4E6A" w:rsidRPr="00732156">
        <w:rPr>
          <w:rFonts w:ascii="Times New Roman" w:hAnsi="Times New Roman" w:cs="Times New Roman"/>
          <w:noProof w:val="0"/>
        </w:rPr>
        <w:t xml:space="preserve"> 221-234.</w:t>
      </w:r>
    </w:p>
    <w:p w14:paraId="79102DDF" w14:textId="4F6E00CE" w:rsidR="00410539" w:rsidRPr="00732156" w:rsidRDefault="00410539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Damonte, A</w:t>
      </w:r>
      <w:r w:rsidR="004C0212" w:rsidRPr="00732156">
        <w:rPr>
          <w:rFonts w:ascii="Times New Roman" w:hAnsi="Times New Roman" w:cs="Times New Roman"/>
          <w:noProof w:val="0"/>
        </w:rPr>
        <w:t>lessia</w:t>
      </w:r>
      <w:r w:rsidRPr="00732156">
        <w:rPr>
          <w:rFonts w:ascii="Times New Roman" w:hAnsi="Times New Roman" w:cs="Times New Roman"/>
          <w:noProof w:val="0"/>
        </w:rPr>
        <w:t xml:space="preserve">. 2014. Policy </w:t>
      </w:r>
      <w:r w:rsidR="004C0212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ools for </w:t>
      </w:r>
      <w:r w:rsidR="004C0212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reen </w:t>
      </w:r>
      <w:r w:rsidR="004C0212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rowth in the EU15: A </w:t>
      </w:r>
      <w:r w:rsidR="004C0212" w:rsidRPr="00732156">
        <w:rPr>
          <w:rFonts w:ascii="Times New Roman" w:hAnsi="Times New Roman" w:cs="Times New Roman"/>
          <w:noProof w:val="0"/>
        </w:rPr>
        <w:t>Q</w:t>
      </w:r>
      <w:r w:rsidRPr="00732156">
        <w:rPr>
          <w:rFonts w:ascii="Times New Roman" w:hAnsi="Times New Roman" w:cs="Times New Roman"/>
          <w:noProof w:val="0"/>
        </w:rPr>
        <w:t xml:space="preserve">ualitative </w:t>
      </w:r>
      <w:r w:rsidR="004C0212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>omparati</w:t>
      </w:r>
      <w:r w:rsidR="004C0212" w:rsidRPr="00732156">
        <w:rPr>
          <w:rFonts w:ascii="Times New Roman" w:hAnsi="Times New Roman" w:cs="Times New Roman"/>
          <w:noProof w:val="0"/>
        </w:rPr>
        <w:t>ve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4C0212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nalysis. </w:t>
      </w:r>
      <w:r w:rsidRPr="00732156">
        <w:rPr>
          <w:rFonts w:ascii="Times New Roman" w:hAnsi="Times New Roman" w:cs="Times New Roman"/>
          <w:i/>
          <w:noProof w:val="0"/>
        </w:rPr>
        <w:t xml:space="preserve">Environmental Politics </w:t>
      </w:r>
      <w:r w:rsidR="004C0212" w:rsidRPr="00732156">
        <w:rPr>
          <w:rFonts w:ascii="Times New Roman" w:hAnsi="Times New Roman" w:cs="Times New Roman"/>
          <w:iCs/>
          <w:noProof w:val="0"/>
        </w:rPr>
        <w:t xml:space="preserve">23 </w:t>
      </w:r>
      <w:r w:rsidRPr="00732156">
        <w:rPr>
          <w:rFonts w:ascii="Times New Roman" w:hAnsi="Times New Roman" w:cs="Times New Roman"/>
          <w:noProof w:val="0"/>
        </w:rPr>
        <w:t>(1)</w:t>
      </w:r>
      <w:r w:rsidR="004C0212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18-40.</w:t>
      </w:r>
    </w:p>
    <w:p w14:paraId="30AD9865" w14:textId="66DD27B2" w:rsidR="00410539" w:rsidRPr="00732156" w:rsidRDefault="00410539" w:rsidP="00021E25">
      <w:pPr>
        <w:pStyle w:val="EndNoteBibliography"/>
        <w:spacing w:after="0"/>
        <w:ind w:left="720" w:hanging="720"/>
        <w:rPr>
          <w:rStyle w:val="a6"/>
          <w:rFonts w:ascii="Times New Roman" w:hAnsi="Times New Roman" w:cs="Times New Roman"/>
          <w:noProof w:val="0"/>
          <w:color w:val="auto"/>
          <w:u w:val="none"/>
        </w:rPr>
      </w:pP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lastRenderedPageBreak/>
        <w:t>Dinda, S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oumyananda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. 2004. Environmental Kuznets Curve 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H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ypothesis: A 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S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urvey. </w:t>
      </w:r>
      <w:r w:rsidRPr="00732156">
        <w:rPr>
          <w:rStyle w:val="a6"/>
          <w:rFonts w:ascii="Times New Roman" w:hAnsi="Times New Roman" w:cs="Times New Roman"/>
          <w:i/>
          <w:noProof w:val="0"/>
          <w:color w:val="auto"/>
          <w:u w:val="none"/>
        </w:rPr>
        <w:t xml:space="preserve">Ecological Economics </w:t>
      </w:r>
      <w:r w:rsidR="004C0212" w:rsidRPr="00732156">
        <w:rPr>
          <w:rStyle w:val="a6"/>
          <w:rFonts w:ascii="Times New Roman" w:hAnsi="Times New Roman" w:cs="Times New Roman"/>
          <w:iCs/>
          <w:noProof w:val="0"/>
          <w:color w:val="auto"/>
          <w:u w:val="none"/>
        </w:rPr>
        <w:t xml:space="preserve">49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(4)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: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431-455.</w:t>
      </w:r>
    </w:p>
    <w:p w14:paraId="66596010" w14:textId="62D47DB7" w:rsidR="001D475C" w:rsidRPr="00732156" w:rsidRDefault="00F90820" w:rsidP="001D475C">
      <w:pPr>
        <w:pStyle w:val="EndNoteBibliography"/>
        <w:spacing w:after="0"/>
        <w:ind w:left="720" w:hanging="720"/>
        <w:rPr>
          <w:rStyle w:val="a6"/>
          <w:rFonts w:ascii="Times New Roman" w:hAnsi="Times New Roman" w:cs="Times New Roman"/>
          <w:noProof w:val="0"/>
          <w:color w:val="auto"/>
          <w:u w:val="none"/>
        </w:rPr>
      </w:pP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Farzin, Y. H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ossein,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</w:t>
      </w:r>
      <w:r w:rsidR="00BB6069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and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Craig A. Bond.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2006. Democracy and Environmental Quality. </w:t>
      </w:r>
      <w:r w:rsidRPr="00732156">
        <w:rPr>
          <w:rStyle w:val="a6"/>
          <w:rFonts w:ascii="Times New Roman" w:hAnsi="Times New Roman" w:cs="Times New Roman"/>
          <w:i/>
          <w:iCs/>
          <w:noProof w:val="0"/>
          <w:color w:val="auto"/>
          <w:u w:val="none"/>
        </w:rPr>
        <w:t xml:space="preserve">Journal of Development Economics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81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(1)</w:t>
      </w:r>
      <w:r w:rsidR="004C0212"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>:</w:t>
      </w:r>
      <w:r w:rsidRPr="00732156">
        <w:rPr>
          <w:rStyle w:val="a6"/>
          <w:rFonts w:ascii="Times New Roman" w:hAnsi="Times New Roman" w:cs="Times New Roman"/>
          <w:noProof w:val="0"/>
          <w:color w:val="auto"/>
          <w:u w:val="none"/>
        </w:rPr>
        <w:t xml:space="preserve"> 213-235.</w:t>
      </w:r>
    </w:p>
    <w:p w14:paraId="77AFFD8B" w14:textId="0F7D03FD" w:rsidR="00410539" w:rsidRPr="00732156" w:rsidRDefault="00410539" w:rsidP="001D475C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  <w:sz w:val="21"/>
          <w:szCs w:val="21"/>
        </w:rPr>
      </w:pPr>
      <w:r w:rsidRPr="00732156">
        <w:rPr>
          <w:rFonts w:ascii="Times New Roman" w:hAnsi="Times New Roman" w:cs="Times New Roman"/>
          <w:noProof w:val="0"/>
          <w:sz w:val="21"/>
          <w:szCs w:val="21"/>
        </w:rPr>
        <w:t>Ferguson, P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eter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. 2014. The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G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reen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E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conomy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A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genda: Business as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U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sual or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T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ransformational 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D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iscourse? </w:t>
      </w:r>
      <w:r w:rsidRPr="00732156">
        <w:rPr>
          <w:rFonts w:ascii="Times New Roman" w:hAnsi="Times New Roman" w:cs="Times New Roman"/>
          <w:i/>
          <w:noProof w:val="0"/>
          <w:sz w:val="21"/>
          <w:szCs w:val="21"/>
        </w:rPr>
        <w:t xml:space="preserve">Environmental Politics </w:t>
      </w:r>
      <w:r w:rsidRPr="00732156">
        <w:rPr>
          <w:rFonts w:ascii="Times New Roman" w:hAnsi="Times New Roman" w:cs="Times New Roman"/>
          <w:iCs/>
          <w:noProof w:val="0"/>
          <w:sz w:val="21"/>
          <w:szCs w:val="21"/>
        </w:rPr>
        <w:t>24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 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>(1)</w:t>
      </w:r>
      <w:r w:rsidR="008A578F" w:rsidRPr="00732156">
        <w:rPr>
          <w:rFonts w:ascii="Times New Roman" w:hAnsi="Times New Roman" w:cs="Times New Roman"/>
          <w:noProof w:val="0"/>
          <w:sz w:val="21"/>
          <w:szCs w:val="21"/>
        </w:rPr>
        <w:t>:</w:t>
      </w:r>
      <w:r w:rsidRPr="00732156">
        <w:rPr>
          <w:rFonts w:ascii="Times New Roman" w:hAnsi="Times New Roman" w:cs="Times New Roman"/>
          <w:noProof w:val="0"/>
          <w:sz w:val="21"/>
          <w:szCs w:val="21"/>
        </w:rPr>
        <w:t xml:space="preserve"> 17-37. </w:t>
      </w:r>
    </w:p>
    <w:p w14:paraId="02CD6FA6" w14:textId="05310998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Haites, E</w:t>
      </w:r>
      <w:r w:rsidR="008A578F" w:rsidRPr="00732156">
        <w:rPr>
          <w:rFonts w:ascii="Times New Roman" w:hAnsi="Times New Roman" w:cs="Times New Roman"/>
          <w:noProof w:val="0"/>
        </w:rPr>
        <w:t>rik</w:t>
      </w:r>
      <w:r w:rsidRPr="00732156">
        <w:rPr>
          <w:rFonts w:ascii="Times New Roman" w:hAnsi="Times New Roman" w:cs="Times New Roman"/>
          <w:noProof w:val="0"/>
        </w:rPr>
        <w:t xml:space="preserve">. 2018. Carbon </w:t>
      </w:r>
      <w:r w:rsidR="008A578F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axes and </w:t>
      </w:r>
      <w:r w:rsidR="008A578F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reenhouse </w:t>
      </w:r>
      <w:r w:rsidR="008A578F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as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missions </w:t>
      </w:r>
      <w:r w:rsidR="008A578F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rading </w:t>
      </w:r>
      <w:r w:rsidR="008A578F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ystems: </w:t>
      </w:r>
      <w:r w:rsidR="008A578F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hat </w:t>
      </w:r>
      <w:r w:rsidR="008A578F" w:rsidRPr="00732156">
        <w:rPr>
          <w:rFonts w:ascii="Times New Roman" w:hAnsi="Times New Roman" w:cs="Times New Roman"/>
          <w:noProof w:val="0"/>
        </w:rPr>
        <w:t>H</w:t>
      </w:r>
      <w:r w:rsidRPr="00732156">
        <w:rPr>
          <w:rFonts w:ascii="Times New Roman" w:hAnsi="Times New Roman" w:cs="Times New Roman"/>
          <w:noProof w:val="0"/>
        </w:rPr>
        <w:t xml:space="preserve">ave </w:t>
      </w:r>
      <w:r w:rsidR="008A578F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e </w:t>
      </w:r>
      <w:r w:rsidR="008A578F" w:rsidRPr="00732156">
        <w:rPr>
          <w:rFonts w:ascii="Times New Roman" w:hAnsi="Times New Roman" w:cs="Times New Roman"/>
          <w:noProof w:val="0"/>
        </w:rPr>
        <w:t>L</w:t>
      </w:r>
      <w:r w:rsidRPr="00732156">
        <w:rPr>
          <w:rFonts w:ascii="Times New Roman" w:hAnsi="Times New Roman" w:cs="Times New Roman"/>
          <w:noProof w:val="0"/>
        </w:rPr>
        <w:t xml:space="preserve">earned? </w:t>
      </w:r>
      <w:r w:rsidRPr="00732156">
        <w:rPr>
          <w:rFonts w:ascii="Times New Roman" w:hAnsi="Times New Roman" w:cs="Times New Roman"/>
          <w:i/>
          <w:noProof w:val="0"/>
        </w:rPr>
        <w:t xml:space="preserve">Climate Policy </w:t>
      </w:r>
      <w:r w:rsidRPr="00732156">
        <w:rPr>
          <w:rFonts w:ascii="Times New Roman" w:hAnsi="Times New Roman" w:cs="Times New Roman"/>
          <w:iCs/>
          <w:noProof w:val="0"/>
        </w:rPr>
        <w:t>18</w:t>
      </w:r>
      <w:r w:rsidR="008A578F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(8)</w:t>
      </w:r>
      <w:r w:rsidR="008A578F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955-966</w:t>
      </w:r>
      <w:r w:rsidR="00A95F0A" w:rsidRPr="00732156">
        <w:rPr>
          <w:rFonts w:ascii="Times New Roman" w:hAnsi="Times New Roman" w:cs="Times New Roman"/>
          <w:noProof w:val="0"/>
        </w:rPr>
        <w:t>.</w:t>
      </w:r>
    </w:p>
    <w:p w14:paraId="593D728C" w14:textId="2933A69C" w:rsidR="00C55BD2" w:rsidRPr="00732156" w:rsidRDefault="00C55BD2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Harris, P</w:t>
      </w:r>
      <w:r w:rsidR="008A578F" w:rsidRPr="00732156">
        <w:rPr>
          <w:rFonts w:ascii="Times New Roman" w:hAnsi="Times New Roman" w:cs="Times New Roman"/>
          <w:noProof w:val="0"/>
        </w:rPr>
        <w:t>aul</w:t>
      </w:r>
      <w:r w:rsidRPr="00732156">
        <w:rPr>
          <w:rFonts w:ascii="Times New Roman" w:hAnsi="Times New Roman" w:cs="Times New Roman"/>
          <w:noProof w:val="0"/>
        </w:rPr>
        <w:t xml:space="preserve"> G</w:t>
      </w:r>
      <w:r w:rsidR="008A578F" w:rsidRPr="00732156">
        <w:rPr>
          <w:rFonts w:ascii="Times New Roman" w:hAnsi="Times New Roman" w:cs="Times New Roman"/>
          <w:noProof w:val="0"/>
        </w:rPr>
        <w:t>., 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8A578F" w:rsidRPr="00732156">
        <w:rPr>
          <w:rFonts w:ascii="Times New Roman" w:hAnsi="Times New Roman" w:cs="Times New Roman"/>
          <w:noProof w:val="0"/>
        </w:rPr>
        <w:t>Taedong Lee.</w:t>
      </w:r>
      <w:r w:rsidRPr="00732156">
        <w:rPr>
          <w:rFonts w:ascii="Times New Roman" w:hAnsi="Times New Roman" w:cs="Times New Roman"/>
          <w:noProof w:val="0"/>
        </w:rPr>
        <w:t xml:space="preserve"> 2017. Compliance with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limate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hange </w:t>
      </w:r>
      <w:r w:rsidR="008A578F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greements: </w:t>
      </w:r>
      <w:r w:rsidR="008A578F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he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onstraints of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onsumption. </w:t>
      </w:r>
      <w:r w:rsidRPr="00732156">
        <w:rPr>
          <w:rFonts w:ascii="Times New Roman" w:hAnsi="Times New Roman" w:cs="Times New Roman"/>
          <w:i/>
          <w:noProof w:val="0"/>
        </w:rPr>
        <w:t xml:space="preserve">International Environmental Agreements: Politics, Law and Economics </w:t>
      </w:r>
      <w:r w:rsidRPr="00732156">
        <w:rPr>
          <w:rFonts w:ascii="Times New Roman" w:hAnsi="Times New Roman" w:cs="Times New Roman"/>
          <w:iCs/>
          <w:noProof w:val="0"/>
        </w:rPr>
        <w:t>17</w:t>
      </w:r>
      <w:r w:rsidR="008A578F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(6)</w:t>
      </w:r>
      <w:r w:rsidR="008A578F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779-794. </w:t>
      </w:r>
    </w:p>
    <w:p w14:paraId="06BECEF9" w14:textId="3C816CD5" w:rsidR="00C55BD2" w:rsidRPr="00732156" w:rsidRDefault="00C55BD2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Iacus, S</w:t>
      </w:r>
      <w:r w:rsidR="008A578F" w:rsidRPr="00732156">
        <w:rPr>
          <w:rFonts w:ascii="Times New Roman" w:hAnsi="Times New Roman" w:cs="Times New Roman"/>
          <w:noProof w:val="0"/>
        </w:rPr>
        <w:t>tefano</w:t>
      </w:r>
      <w:r w:rsidRPr="00732156">
        <w:rPr>
          <w:rFonts w:ascii="Times New Roman" w:hAnsi="Times New Roman" w:cs="Times New Roman"/>
          <w:noProof w:val="0"/>
        </w:rPr>
        <w:t xml:space="preserve"> M., </w:t>
      </w:r>
      <w:r w:rsidR="008A578F" w:rsidRPr="00732156">
        <w:rPr>
          <w:rFonts w:ascii="Times New Roman" w:hAnsi="Times New Roman" w:cs="Times New Roman"/>
          <w:noProof w:val="0"/>
        </w:rPr>
        <w:t>Gary King</w:t>
      </w:r>
      <w:r w:rsidRPr="00732156">
        <w:rPr>
          <w:rFonts w:ascii="Times New Roman" w:hAnsi="Times New Roman" w:cs="Times New Roman"/>
          <w:noProof w:val="0"/>
        </w:rPr>
        <w:t xml:space="preserve">, </w:t>
      </w:r>
      <w:r w:rsidR="008A578F" w:rsidRPr="00732156">
        <w:rPr>
          <w:rFonts w:ascii="Times New Roman" w:hAnsi="Times New Roman" w:cs="Times New Roman"/>
          <w:noProof w:val="0"/>
        </w:rPr>
        <w:t>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8A578F" w:rsidRPr="00732156">
        <w:rPr>
          <w:rFonts w:ascii="Times New Roman" w:hAnsi="Times New Roman" w:cs="Times New Roman"/>
          <w:noProof w:val="0"/>
        </w:rPr>
        <w:t>Giuseppe Porro.</w:t>
      </w:r>
      <w:r w:rsidRPr="00732156">
        <w:rPr>
          <w:rFonts w:ascii="Times New Roman" w:hAnsi="Times New Roman" w:cs="Times New Roman"/>
          <w:noProof w:val="0"/>
        </w:rPr>
        <w:t xml:space="preserve"> 2012. Causal </w:t>
      </w:r>
      <w:r w:rsidR="008A578F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nference without </w:t>
      </w:r>
      <w:r w:rsidR="008A578F" w:rsidRPr="00732156">
        <w:rPr>
          <w:rFonts w:ascii="Times New Roman" w:hAnsi="Times New Roman" w:cs="Times New Roman"/>
          <w:noProof w:val="0"/>
        </w:rPr>
        <w:t>B</w:t>
      </w:r>
      <w:r w:rsidRPr="00732156">
        <w:rPr>
          <w:rFonts w:ascii="Times New Roman" w:hAnsi="Times New Roman" w:cs="Times New Roman"/>
          <w:noProof w:val="0"/>
        </w:rPr>
        <w:t xml:space="preserve">alance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hecking: Coarsened Exact Matching. </w:t>
      </w:r>
      <w:r w:rsidRPr="00732156">
        <w:rPr>
          <w:rFonts w:ascii="Times New Roman" w:hAnsi="Times New Roman" w:cs="Times New Roman"/>
          <w:i/>
          <w:noProof w:val="0"/>
        </w:rPr>
        <w:t xml:space="preserve">Political Analysis </w:t>
      </w:r>
      <w:r w:rsidR="008A578F" w:rsidRPr="00732156">
        <w:rPr>
          <w:rFonts w:ascii="Times New Roman" w:hAnsi="Times New Roman" w:cs="Times New Roman"/>
          <w:iCs/>
          <w:noProof w:val="0"/>
        </w:rPr>
        <w:t xml:space="preserve">20 </w:t>
      </w:r>
      <w:r w:rsidRPr="00732156">
        <w:rPr>
          <w:rFonts w:ascii="Times New Roman" w:hAnsi="Times New Roman" w:cs="Times New Roman"/>
          <w:noProof w:val="0"/>
        </w:rPr>
        <w:t>(1)</w:t>
      </w:r>
      <w:r w:rsidR="008A578F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1-24. </w:t>
      </w:r>
    </w:p>
    <w:p w14:paraId="76B5C848" w14:textId="3DC11136" w:rsidR="008C01A4" w:rsidRPr="00732156" w:rsidRDefault="008C01A4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Jenkins, J</w:t>
      </w:r>
      <w:r w:rsidR="008A578F" w:rsidRPr="00732156">
        <w:rPr>
          <w:rFonts w:ascii="Times New Roman" w:hAnsi="Times New Roman" w:cs="Times New Roman"/>
          <w:noProof w:val="0"/>
        </w:rPr>
        <w:t>esse</w:t>
      </w:r>
      <w:r w:rsidRPr="00732156">
        <w:rPr>
          <w:rFonts w:ascii="Times New Roman" w:hAnsi="Times New Roman" w:cs="Times New Roman"/>
          <w:noProof w:val="0"/>
        </w:rPr>
        <w:t xml:space="preserve"> D. 2014. Political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conomy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onstraints on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8A578F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ricing </w:t>
      </w:r>
      <w:r w:rsidR="008A578F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olicies: What </w:t>
      </w:r>
      <w:r w:rsidR="008A578F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re </w:t>
      </w:r>
      <w:r w:rsidR="008A578F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he </w:t>
      </w:r>
      <w:r w:rsidR="008A578F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mplications for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conomic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fficiency,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nvironmental </w:t>
      </w:r>
      <w:r w:rsidR="008A578F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fficacy, and </w:t>
      </w:r>
      <w:r w:rsidR="008A578F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limate </w:t>
      </w:r>
      <w:r w:rsidR="008A578F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olicy </w:t>
      </w:r>
      <w:r w:rsidR="008A578F" w:rsidRPr="00732156">
        <w:rPr>
          <w:rFonts w:ascii="Times New Roman" w:hAnsi="Times New Roman" w:cs="Times New Roman"/>
          <w:noProof w:val="0"/>
        </w:rPr>
        <w:t>D</w:t>
      </w:r>
      <w:r w:rsidRPr="00732156">
        <w:rPr>
          <w:rFonts w:ascii="Times New Roman" w:hAnsi="Times New Roman" w:cs="Times New Roman"/>
          <w:noProof w:val="0"/>
        </w:rPr>
        <w:t xml:space="preserve">esign? </w:t>
      </w:r>
      <w:r w:rsidRPr="00732156">
        <w:rPr>
          <w:rFonts w:ascii="Times New Roman" w:hAnsi="Times New Roman" w:cs="Times New Roman"/>
          <w:i/>
          <w:noProof w:val="0"/>
        </w:rPr>
        <w:t xml:space="preserve">Energy Policy </w:t>
      </w:r>
      <w:r w:rsidRPr="00732156">
        <w:rPr>
          <w:rFonts w:ascii="Times New Roman" w:hAnsi="Times New Roman" w:cs="Times New Roman"/>
          <w:noProof w:val="0"/>
        </w:rPr>
        <w:t xml:space="preserve">69: 467-477. </w:t>
      </w:r>
    </w:p>
    <w:p w14:paraId="1E40F6D1" w14:textId="359AA90D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Jorgenson, A</w:t>
      </w:r>
      <w:r w:rsidR="008A578F" w:rsidRPr="00732156">
        <w:rPr>
          <w:rFonts w:ascii="Times New Roman" w:hAnsi="Times New Roman" w:cs="Times New Roman"/>
          <w:noProof w:val="0"/>
        </w:rPr>
        <w:t>ndrew</w:t>
      </w:r>
      <w:r w:rsidRPr="00732156">
        <w:rPr>
          <w:rFonts w:ascii="Times New Roman" w:hAnsi="Times New Roman" w:cs="Times New Roman"/>
          <w:noProof w:val="0"/>
        </w:rPr>
        <w:t xml:space="preserve"> K., </w:t>
      </w:r>
      <w:r w:rsidR="008A578F" w:rsidRPr="00732156">
        <w:rPr>
          <w:rFonts w:ascii="Times New Roman" w:hAnsi="Times New Roman" w:cs="Times New Roman"/>
          <w:noProof w:val="0"/>
        </w:rPr>
        <w:t>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8A578F" w:rsidRPr="00732156">
        <w:rPr>
          <w:rFonts w:ascii="Times New Roman" w:hAnsi="Times New Roman" w:cs="Times New Roman"/>
          <w:noProof w:val="0"/>
        </w:rPr>
        <w:t>Brett Clark</w:t>
      </w:r>
      <w:r w:rsidRPr="00732156">
        <w:rPr>
          <w:rFonts w:ascii="Times New Roman" w:hAnsi="Times New Roman" w:cs="Times New Roman"/>
          <w:noProof w:val="0"/>
        </w:rPr>
        <w:t>. 2012. Are the Economy and the Environment Decoupling? A Comparative International Study, 1960</w:t>
      </w:r>
      <w:r w:rsidR="00A95F0A" w:rsidRPr="00732156">
        <w:rPr>
          <w:rFonts w:ascii="Times New Roman" w:hAnsi="Times New Roman" w:cs="Times New Roman"/>
          <w:noProof w:val="0"/>
        </w:rPr>
        <w:t>-</w:t>
      </w:r>
      <w:r w:rsidRPr="00732156">
        <w:rPr>
          <w:rFonts w:ascii="Times New Roman" w:hAnsi="Times New Roman" w:cs="Times New Roman"/>
          <w:noProof w:val="0"/>
        </w:rPr>
        <w:t xml:space="preserve">2005. </w:t>
      </w:r>
      <w:r w:rsidRPr="00732156">
        <w:rPr>
          <w:rFonts w:ascii="Times New Roman" w:hAnsi="Times New Roman" w:cs="Times New Roman"/>
          <w:i/>
          <w:noProof w:val="0"/>
        </w:rPr>
        <w:t xml:space="preserve">American Journal of Sociology </w:t>
      </w:r>
      <w:r w:rsidRPr="00732156">
        <w:rPr>
          <w:rFonts w:ascii="Times New Roman" w:hAnsi="Times New Roman" w:cs="Times New Roman"/>
          <w:iCs/>
          <w:noProof w:val="0"/>
        </w:rPr>
        <w:t>118</w:t>
      </w:r>
      <w:r w:rsidR="008A578F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(1)</w:t>
      </w:r>
      <w:r w:rsidR="008A578F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1-44.</w:t>
      </w:r>
    </w:p>
    <w:p w14:paraId="3D497CA8" w14:textId="29B0096E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Keohane, N</w:t>
      </w:r>
      <w:r w:rsidR="008A578F" w:rsidRPr="00732156">
        <w:rPr>
          <w:rFonts w:ascii="Times New Roman" w:hAnsi="Times New Roman" w:cs="Times New Roman"/>
          <w:noProof w:val="0"/>
        </w:rPr>
        <w:t>athaniel O.,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8A578F" w:rsidRPr="00732156">
        <w:rPr>
          <w:rFonts w:ascii="Times New Roman" w:hAnsi="Times New Roman" w:cs="Times New Roman"/>
          <w:noProof w:val="0"/>
        </w:rPr>
        <w:t>Robert N. Stavins</w:t>
      </w:r>
      <w:r w:rsidRPr="00732156">
        <w:rPr>
          <w:rFonts w:ascii="Times New Roman" w:hAnsi="Times New Roman" w:cs="Times New Roman"/>
          <w:noProof w:val="0"/>
        </w:rPr>
        <w:t xml:space="preserve">, </w:t>
      </w:r>
      <w:r w:rsidR="008A578F" w:rsidRPr="00732156">
        <w:rPr>
          <w:rFonts w:ascii="Times New Roman" w:hAnsi="Times New Roman" w:cs="Times New Roman"/>
          <w:noProof w:val="0"/>
        </w:rPr>
        <w:t>and Richard L. Revesz</w:t>
      </w:r>
      <w:r w:rsidRPr="00732156">
        <w:rPr>
          <w:rFonts w:ascii="Times New Roman" w:hAnsi="Times New Roman" w:cs="Times New Roman"/>
          <w:noProof w:val="0"/>
        </w:rPr>
        <w:t xml:space="preserve">. 1999. The Positive Political Economy of Instrument Choice in Environmental Policy. In </w:t>
      </w:r>
      <w:r w:rsidR="006018B8" w:rsidRPr="00732156">
        <w:rPr>
          <w:rFonts w:ascii="Times New Roman" w:hAnsi="Times New Roman" w:cs="Times New Roman"/>
          <w:i/>
          <w:noProof w:val="0"/>
        </w:rPr>
        <w:t xml:space="preserve">Environmental and Public Economics: Essays in Honor of Wallace E. Oates, </w:t>
      </w:r>
      <w:r w:rsidR="006018B8" w:rsidRPr="00732156">
        <w:rPr>
          <w:rFonts w:ascii="Times New Roman" w:hAnsi="Times New Roman" w:cs="Times New Roman"/>
          <w:iCs/>
          <w:noProof w:val="0"/>
        </w:rPr>
        <w:t>edited by</w:t>
      </w:r>
      <w:r w:rsidR="006018B8" w:rsidRPr="00732156">
        <w:rPr>
          <w:rFonts w:ascii="Times New Roman" w:hAnsi="Times New Roman" w:cs="Times New Roman"/>
          <w:noProof w:val="0"/>
        </w:rPr>
        <w:t xml:space="preserve"> Wallace E. Oates, Arvind Panagariya, Paul R. Portney and Robert M. Schwab. </w:t>
      </w:r>
      <w:r w:rsidRPr="00732156">
        <w:rPr>
          <w:rFonts w:ascii="Times New Roman" w:hAnsi="Times New Roman" w:cs="Times New Roman"/>
          <w:noProof w:val="0"/>
        </w:rPr>
        <w:t>89</w:t>
      </w:r>
      <w:r w:rsidRPr="00732156">
        <w:rPr>
          <w:rFonts w:ascii="Times New Roman" w:eastAsia="바탕" w:hAnsi="Times New Roman" w:cs="Times New Roman"/>
          <w:noProof w:val="0"/>
        </w:rPr>
        <w:t>–</w:t>
      </w:r>
      <w:r w:rsidRPr="00732156">
        <w:rPr>
          <w:rFonts w:ascii="Times New Roman" w:hAnsi="Times New Roman" w:cs="Times New Roman"/>
          <w:noProof w:val="0"/>
        </w:rPr>
        <w:t>125. London</w:t>
      </w:r>
      <w:r w:rsidR="006018B8" w:rsidRPr="00732156">
        <w:rPr>
          <w:rFonts w:ascii="Times New Roman" w:hAnsi="Times New Roman" w:cs="Times New Roman"/>
          <w:noProof w:val="0"/>
        </w:rPr>
        <w:t>, UK</w:t>
      </w:r>
      <w:r w:rsidRPr="00732156">
        <w:rPr>
          <w:rFonts w:ascii="Times New Roman" w:hAnsi="Times New Roman" w:cs="Times New Roman"/>
          <w:noProof w:val="0"/>
        </w:rPr>
        <w:t>: Edward Elgar, Ltd.</w:t>
      </w:r>
    </w:p>
    <w:p w14:paraId="12D155C2" w14:textId="677A6B01" w:rsidR="00A95F0A" w:rsidRPr="00732156" w:rsidRDefault="00A95F0A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Lederer, M</w:t>
      </w:r>
      <w:r w:rsidR="006018B8" w:rsidRPr="00732156">
        <w:rPr>
          <w:rFonts w:ascii="Times New Roman" w:hAnsi="Times New Roman" w:cs="Times New Roman"/>
          <w:noProof w:val="0"/>
        </w:rPr>
        <w:t>arkus. 2017.</w:t>
      </w:r>
      <w:r w:rsidRPr="00732156">
        <w:rPr>
          <w:rFonts w:ascii="Times New Roman" w:hAnsi="Times New Roman" w:cs="Times New Roman"/>
          <w:noProof w:val="0"/>
        </w:rPr>
        <w:t xml:space="preserve"> Carbon</w:t>
      </w:r>
      <w:r w:rsidR="006018B8" w:rsidRPr="00732156">
        <w:rPr>
          <w:rFonts w:ascii="Times New Roman" w:hAnsi="Times New Roman" w:cs="Times New Roman"/>
          <w:noProof w:val="0"/>
        </w:rPr>
        <w:t xml:space="preserve"> T</w:t>
      </w:r>
      <w:r w:rsidRPr="00732156">
        <w:rPr>
          <w:rFonts w:ascii="Times New Roman" w:hAnsi="Times New Roman" w:cs="Times New Roman"/>
          <w:noProof w:val="0"/>
        </w:rPr>
        <w:t xml:space="preserve">rading: Who </w:t>
      </w:r>
      <w:r w:rsidR="006018B8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ets </w:t>
      </w:r>
      <w:r w:rsidR="006018B8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hat, </w:t>
      </w:r>
      <w:r w:rsidR="006018B8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hen and </w:t>
      </w:r>
      <w:r w:rsidR="006018B8" w:rsidRPr="00732156">
        <w:rPr>
          <w:rFonts w:ascii="Times New Roman" w:hAnsi="Times New Roman" w:cs="Times New Roman"/>
          <w:noProof w:val="0"/>
        </w:rPr>
        <w:t>H</w:t>
      </w:r>
      <w:r w:rsidRPr="00732156">
        <w:rPr>
          <w:rFonts w:ascii="Times New Roman" w:hAnsi="Times New Roman" w:cs="Times New Roman"/>
          <w:noProof w:val="0"/>
        </w:rPr>
        <w:t xml:space="preserve">ow? </w:t>
      </w:r>
      <w:r w:rsidRPr="00732156">
        <w:rPr>
          <w:rFonts w:ascii="Times New Roman" w:hAnsi="Times New Roman" w:cs="Times New Roman"/>
          <w:i/>
          <w:noProof w:val="0"/>
        </w:rPr>
        <w:t xml:space="preserve">Global Environmental Politics </w:t>
      </w:r>
      <w:r w:rsidRPr="00732156">
        <w:rPr>
          <w:rFonts w:ascii="Times New Roman" w:hAnsi="Times New Roman" w:cs="Times New Roman"/>
          <w:noProof w:val="0"/>
        </w:rPr>
        <w:t>17</w:t>
      </w:r>
      <w:r w:rsidR="006018B8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(3)</w:t>
      </w:r>
      <w:r w:rsidR="006018B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134-140. </w:t>
      </w:r>
    </w:p>
    <w:p w14:paraId="6578C396" w14:textId="467A22B2" w:rsidR="001D475C" w:rsidRPr="00732156" w:rsidRDefault="001D475C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Lee, T</w:t>
      </w:r>
      <w:r w:rsidR="006018B8" w:rsidRPr="00732156">
        <w:rPr>
          <w:rFonts w:ascii="Times New Roman" w:hAnsi="Times New Roman" w:cs="Times New Roman"/>
          <w:noProof w:val="0"/>
        </w:rPr>
        <w:t>aedong.</w:t>
      </w:r>
      <w:r w:rsidRPr="00732156">
        <w:rPr>
          <w:rFonts w:ascii="Times New Roman" w:hAnsi="Times New Roman" w:cs="Times New Roman"/>
          <w:noProof w:val="0"/>
        </w:rPr>
        <w:t xml:space="preserve"> 2018. Local </w:t>
      </w:r>
      <w:r w:rsidR="006018B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nergy </w:t>
      </w:r>
      <w:r w:rsidR="006018B8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gencies and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ities' </w:t>
      </w:r>
      <w:r w:rsidR="006018B8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articipation in </w:t>
      </w:r>
      <w:r w:rsidR="006018B8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ranslocal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limate </w:t>
      </w:r>
      <w:r w:rsidR="006018B8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overnance. </w:t>
      </w:r>
      <w:r w:rsidRPr="00732156">
        <w:rPr>
          <w:rFonts w:ascii="Times New Roman" w:hAnsi="Times New Roman" w:cs="Times New Roman"/>
          <w:i/>
          <w:iCs/>
          <w:noProof w:val="0"/>
        </w:rPr>
        <w:t xml:space="preserve">Environmental Policy and Governance </w:t>
      </w:r>
      <w:r w:rsidRPr="00732156">
        <w:rPr>
          <w:rFonts w:ascii="Times New Roman" w:hAnsi="Times New Roman" w:cs="Times New Roman"/>
          <w:noProof w:val="0"/>
        </w:rPr>
        <w:t>28</w:t>
      </w:r>
      <w:r w:rsidR="006018B8" w:rsidRPr="00732156">
        <w:rPr>
          <w:rFonts w:ascii="Times New Roman" w:hAnsi="Times New Roman" w:cs="Times New Roman"/>
          <w:i/>
          <w:iCs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(3)</w:t>
      </w:r>
      <w:r w:rsidR="006018B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131-140.</w:t>
      </w:r>
    </w:p>
    <w:p w14:paraId="47400383" w14:textId="104E4872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Löfgren, Å</w:t>
      </w:r>
      <w:r w:rsidR="006018B8" w:rsidRPr="00732156">
        <w:rPr>
          <w:rFonts w:ascii="Times New Roman" w:hAnsi="Times New Roman" w:cs="Times New Roman"/>
          <w:noProof w:val="0"/>
        </w:rPr>
        <w:t>sa,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018B8" w:rsidRPr="00732156">
        <w:rPr>
          <w:rFonts w:ascii="Times New Roman" w:hAnsi="Times New Roman" w:cs="Times New Roman"/>
          <w:noProof w:val="0"/>
        </w:rPr>
        <w:t xml:space="preserve">Markus </w:t>
      </w:r>
      <w:r w:rsidRPr="00732156">
        <w:rPr>
          <w:rFonts w:ascii="Times New Roman" w:hAnsi="Times New Roman" w:cs="Times New Roman"/>
          <w:noProof w:val="0"/>
        </w:rPr>
        <w:t>Wråke,</w:t>
      </w:r>
      <w:r w:rsidR="006018B8" w:rsidRPr="00732156">
        <w:rPr>
          <w:rFonts w:ascii="Times New Roman" w:hAnsi="Times New Roman" w:cs="Times New Roman"/>
          <w:noProof w:val="0"/>
        </w:rPr>
        <w:t xml:space="preserve"> Tomas </w:t>
      </w:r>
      <w:r w:rsidRPr="00732156">
        <w:rPr>
          <w:rFonts w:ascii="Times New Roman" w:hAnsi="Times New Roman" w:cs="Times New Roman"/>
          <w:noProof w:val="0"/>
        </w:rPr>
        <w:t xml:space="preserve">Hagberg, </w:t>
      </w:r>
      <w:r w:rsidR="006018B8" w:rsidRPr="00732156">
        <w:rPr>
          <w:rFonts w:ascii="Times New Roman" w:hAnsi="Times New Roman" w:cs="Times New Roman"/>
          <w:noProof w:val="0"/>
        </w:rPr>
        <w:t>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018B8" w:rsidRPr="00732156">
        <w:rPr>
          <w:rFonts w:ascii="Times New Roman" w:hAnsi="Times New Roman" w:cs="Times New Roman"/>
          <w:noProof w:val="0"/>
        </w:rPr>
        <w:t xml:space="preserve">Susanna </w:t>
      </w:r>
      <w:r w:rsidRPr="00732156">
        <w:rPr>
          <w:rFonts w:ascii="Times New Roman" w:hAnsi="Times New Roman" w:cs="Times New Roman"/>
          <w:noProof w:val="0"/>
        </w:rPr>
        <w:t>Roth</w:t>
      </w:r>
      <w:r w:rsidR="006018B8" w:rsidRPr="00732156">
        <w:rPr>
          <w:rFonts w:ascii="Times New Roman" w:hAnsi="Times New Roman" w:cs="Times New Roman"/>
          <w:noProof w:val="0"/>
        </w:rPr>
        <w:t>.</w:t>
      </w:r>
      <w:r w:rsidRPr="00732156">
        <w:rPr>
          <w:rFonts w:ascii="Times New Roman" w:hAnsi="Times New Roman" w:cs="Times New Roman"/>
          <w:noProof w:val="0"/>
        </w:rPr>
        <w:t xml:space="preserve"> 2014. Why the EU ETS </w:t>
      </w:r>
      <w:r w:rsidR="006018B8" w:rsidRPr="00732156">
        <w:rPr>
          <w:rFonts w:ascii="Times New Roman" w:hAnsi="Times New Roman" w:cs="Times New Roman"/>
          <w:noProof w:val="0"/>
        </w:rPr>
        <w:t>N</w:t>
      </w:r>
      <w:r w:rsidRPr="00732156">
        <w:rPr>
          <w:rFonts w:ascii="Times New Roman" w:hAnsi="Times New Roman" w:cs="Times New Roman"/>
          <w:noProof w:val="0"/>
        </w:rPr>
        <w:t xml:space="preserve">eeds </w:t>
      </w:r>
      <w:r w:rsidR="006018B8" w:rsidRPr="00732156">
        <w:rPr>
          <w:rFonts w:ascii="Times New Roman" w:hAnsi="Times New Roman" w:cs="Times New Roman"/>
          <w:noProof w:val="0"/>
        </w:rPr>
        <w:t>R</w:t>
      </w:r>
      <w:r w:rsidRPr="00732156">
        <w:rPr>
          <w:rFonts w:ascii="Times New Roman" w:hAnsi="Times New Roman" w:cs="Times New Roman"/>
          <w:noProof w:val="0"/>
        </w:rPr>
        <w:t xml:space="preserve">eforming: </w:t>
      </w:r>
      <w:r w:rsidR="006018B8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n </w:t>
      </w:r>
      <w:r w:rsidR="006018B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mpirical </w:t>
      </w:r>
      <w:r w:rsidR="006018B8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nalysis of the </w:t>
      </w:r>
      <w:r w:rsidR="006018B8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mpact on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ompany </w:t>
      </w:r>
      <w:r w:rsidR="006018B8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nvestments. </w:t>
      </w:r>
      <w:r w:rsidRPr="00732156">
        <w:rPr>
          <w:rFonts w:ascii="Times New Roman" w:hAnsi="Times New Roman" w:cs="Times New Roman"/>
          <w:i/>
          <w:noProof w:val="0"/>
        </w:rPr>
        <w:t xml:space="preserve">Climate Policy </w:t>
      </w:r>
      <w:r w:rsidRPr="00732156">
        <w:rPr>
          <w:rFonts w:ascii="Times New Roman" w:hAnsi="Times New Roman" w:cs="Times New Roman"/>
          <w:iCs/>
          <w:noProof w:val="0"/>
        </w:rPr>
        <w:t>14</w:t>
      </w:r>
      <w:r w:rsidR="006018B8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(5)</w:t>
      </w:r>
      <w:r w:rsidR="006018B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537-558. </w:t>
      </w:r>
    </w:p>
    <w:p w14:paraId="7DD38131" w14:textId="20A0E329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Lundgren, T</w:t>
      </w:r>
      <w:r w:rsidR="006018B8" w:rsidRPr="00732156">
        <w:rPr>
          <w:rFonts w:ascii="Times New Roman" w:hAnsi="Times New Roman" w:cs="Times New Roman"/>
          <w:noProof w:val="0"/>
        </w:rPr>
        <w:t>ommy</w:t>
      </w:r>
      <w:r w:rsidRPr="00732156">
        <w:rPr>
          <w:rFonts w:ascii="Times New Roman" w:hAnsi="Times New Roman" w:cs="Times New Roman"/>
          <w:noProof w:val="0"/>
        </w:rPr>
        <w:t xml:space="preserve">, </w:t>
      </w:r>
      <w:r w:rsidR="006018B8" w:rsidRPr="00732156">
        <w:rPr>
          <w:rFonts w:ascii="Times New Roman" w:hAnsi="Times New Roman" w:cs="Times New Roman"/>
          <w:noProof w:val="0"/>
        </w:rPr>
        <w:t>Per-Olov Marklund, Eva Samakovlis, and Wenchao Zhou</w:t>
      </w:r>
      <w:r w:rsidRPr="00732156">
        <w:rPr>
          <w:rFonts w:ascii="Times New Roman" w:hAnsi="Times New Roman" w:cs="Times New Roman"/>
          <w:noProof w:val="0"/>
        </w:rPr>
        <w:t xml:space="preserve">. 2015. Carbon </w:t>
      </w:r>
      <w:r w:rsidR="006018B8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rices and </w:t>
      </w:r>
      <w:r w:rsidR="006018B8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ncentives for </w:t>
      </w:r>
      <w:r w:rsidR="006018B8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echnological </w:t>
      </w:r>
      <w:r w:rsidR="006018B8" w:rsidRPr="00732156">
        <w:rPr>
          <w:rFonts w:ascii="Times New Roman" w:hAnsi="Times New Roman" w:cs="Times New Roman"/>
          <w:noProof w:val="0"/>
        </w:rPr>
        <w:t>D</w:t>
      </w:r>
      <w:r w:rsidRPr="00732156">
        <w:rPr>
          <w:rFonts w:ascii="Times New Roman" w:hAnsi="Times New Roman" w:cs="Times New Roman"/>
          <w:noProof w:val="0"/>
        </w:rPr>
        <w:t xml:space="preserve">evelopment. </w:t>
      </w:r>
      <w:r w:rsidRPr="00732156">
        <w:rPr>
          <w:rFonts w:ascii="Times New Roman" w:hAnsi="Times New Roman" w:cs="Times New Roman"/>
          <w:i/>
          <w:noProof w:val="0"/>
        </w:rPr>
        <w:t xml:space="preserve">Journal of Environmental Management </w:t>
      </w:r>
      <w:r w:rsidRPr="00732156">
        <w:rPr>
          <w:rFonts w:ascii="Times New Roman" w:hAnsi="Times New Roman" w:cs="Times New Roman"/>
          <w:iCs/>
          <w:noProof w:val="0"/>
        </w:rPr>
        <w:t>150</w:t>
      </w:r>
      <w:r w:rsidR="006018B8" w:rsidRPr="00732156">
        <w:rPr>
          <w:rFonts w:ascii="Times New Roman" w:hAnsi="Times New Roman" w:cs="Times New Roman"/>
          <w:iCs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393-403.</w:t>
      </w:r>
    </w:p>
    <w:p w14:paraId="36103561" w14:textId="032773AB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Mascher, S</w:t>
      </w:r>
      <w:r w:rsidR="006018B8" w:rsidRPr="00732156">
        <w:rPr>
          <w:rFonts w:ascii="Times New Roman" w:hAnsi="Times New Roman" w:cs="Times New Roman"/>
          <w:noProof w:val="0"/>
        </w:rPr>
        <w:t>haron</w:t>
      </w:r>
      <w:r w:rsidRPr="00732156">
        <w:rPr>
          <w:rFonts w:ascii="Times New Roman" w:hAnsi="Times New Roman" w:cs="Times New Roman"/>
          <w:noProof w:val="0"/>
        </w:rPr>
        <w:t xml:space="preserve">. 2018. Striving for </w:t>
      </w:r>
      <w:r w:rsidR="006018B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quivalency </w:t>
      </w:r>
      <w:r w:rsidR="006018B8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cross the Alberta, British Columbia, Ontario and Québec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018B8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ricing </w:t>
      </w:r>
      <w:r w:rsidR="006018B8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ystems: the Pan-Canadian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018B8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ricing </w:t>
      </w:r>
      <w:r w:rsidR="006018B8" w:rsidRPr="00732156">
        <w:rPr>
          <w:rFonts w:ascii="Times New Roman" w:hAnsi="Times New Roman" w:cs="Times New Roman"/>
          <w:noProof w:val="0"/>
        </w:rPr>
        <w:t>B</w:t>
      </w:r>
      <w:r w:rsidRPr="00732156">
        <w:rPr>
          <w:rFonts w:ascii="Times New Roman" w:hAnsi="Times New Roman" w:cs="Times New Roman"/>
          <w:noProof w:val="0"/>
        </w:rPr>
        <w:t xml:space="preserve">enchmark. </w:t>
      </w:r>
      <w:r w:rsidRPr="00732156">
        <w:rPr>
          <w:rFonts w:ascii="Times New Roman" w:hAnsi="Times New Roman" w:cs="Times New Roman"/>
          <w:i/>
          <w:noProof w:val="0"/>
        </w:rPr>
        <w:t xml:space="preserve">Climate Policy </w:t>
      </w:r>
      <w:r w:rsidRPr="00732156">
        <w:rPr>
          <w:rFonts w:ascii="Times New Roman" w:hAnsi="Times New Roman" w:cs="Times New Roman"/>
          <w:iCs/>
          <w:noProof w:val="0"/>
        </w:rPr>
        <w:t>18</w:t>
      </w:r>
      <w:r w:rsidR="006018B8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(8)</w:t>
      </w:r>
      <w:r w:rsidR="006018B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1012-1027.</w:t>
      </w:r>
    </w:p>
    <w:p w14:paraId="0589F130" w14:textId="5061658B" w:rsidR="00532595" w:rsidRPr="00732156" w:rsidRDefault="0053259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Meng, S</w:t>
      </w:r>
      <w:r w:rsidR="006018B8" w:rsidRPr="00732156">
        <w:rPr>
          <w:rFonts w:ascii="Times New Roman" w:hAnsi="Times New Roman" w:cs="Times New Roman"/>
          <w:noProof w:val="0"/>
        </w:rPr>
        <w:t>am</w:t>
      </w:r>
      <w:r w:rsidRPr="00732156">
        <w:rPr>
          <w:rFonts w:ascii="Times New Roman" w:hAnsi="Times New Roman" w:cs="Times New Roman"/>
          <w:noProof w:val="0"/>
        </w:rPr>
        <w:t xml:space="preserve">, </w:t>
      </w:r>
      <w:r w:rsidR="006018B8" w:rsidRPr="00732156">
        <w:rPr>
          <w:rFonts w:ascii="Times New Roman" w:hAnsi="Times New Roman" w:cs="Times New Roman"/>
          <w:noProof w:val="0"/>
        </w:rPr>
        <w:t>Mahinda Siriwardana, and Judith McNeill</w:t>
      </w:r>
      <w:r w:rsidRPr="00732156">
        <w:rPr>
          <w:rFonts w:ascii="Times New Roman" w:hAnsi="Times New Roman" w:cs="Times New Roman"/>
          <w:noProof w:val="0"/>
        </w:rPr>
        <w:t xml:space="preserve">. 2013. The </w:t>
      </w:r>
      <w:r w:rsidR="006018B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nvironmental and </w:t>
      </w:r>
      <w:r w:rsidR="006018B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conomic </w:t>
      </w:r>
      <w:r w:rsidR="006018B8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mpact of the </w:t>
      </w:r>
      <w:r w:rsidR="006018B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018B8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ax in Australia. </w:t>
      </w:r>
      <w:r w:rsidRPr="00732156">
        <w:rPr>
          <w:rFonts w:ascii="Times New Roman" w:hAnsi="Times New Roman" w:cs="Times New Roman"/>
          <w:i/>
          <w:iCs/>
          <w:noProof w:val="0"/>
        </w:rPr>
        <w:t xml:space="preserve">Environmental and Resource Economics </w:t>
      </w:r>
      <w:r w:rsidRPr="00732156">
        <w:rPr>
          <w:rFonts w:ascii="Times New Roman" w:hAnsi="Times New Roman" w:cs="Times New Roman"/>
          <w:noProof w:val="0"/>
        </w:rPr>
        <w:t>54</w:t>
      </w:r>
      <w:r w:rsidR="006018B8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(3)</w:t>
      </w:r>
      <w:r w:rsidR="006018B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313-332. </w:t>
      </w:r>
    </w:p>
    <w:p w14:paraId="26DC9864" w14:textId="6793FEC5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Mo, J</w:t>
      </w:r>
      <w:r w:rsidR="006A31DD" w:rsidRPr="00732156">
        <w:rPr>
          <w:rFonts w:ascii="Times New Roman" w:hAnsi="Times New Roman" w:cs="Times New Roman"/>
          <w:noProof w:val="0"/>
        </w:rPr>
        <w:t>ian-Lei,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A31DD" w:rsidRPr="00732156">
        <w:rPr>
          <w:rFonts w:ascii="Times New Roman" w:hAnsi="Times New Roman" w:cs="Times New Roman"/>
          <w:noProof w:val="0"/>
        </w:rPr>
        <w:t>Paolo Agnolucci, Mao-Rong Jiang, and Ying Fan.</w:t>
      </w:r>
      <w:r w:rsidRPr="00732156">
        <w:rPr>
          <w:rFonts w:ascii="Times New Roman" w:hAnsi="Times New Roman" w:cs="Times New Roman"/>
          <w:noProof w:val="0"/>
        </w:rPr>
        <w:t xml:space="preserve"> 2016. The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mpact of Chinese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A31DD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mission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rading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cheme (ETS) on </w:t>
      </w:r>
      <w:r w:rsidR="006A31DD" w:rsidRPr="00732156">
        <w:rPr>
          <w:rFonts w:ascii="Times New Roman" w:hAnsi="Times New Roman" w:cs="Times New Roman"/>
          <w:noProof w:val="0"/>
        </w:rPr>
        <w:t>L</w:t>
      </w:r>
      <w:r w:rsidRPr="00732156">
        <w:rPr>
          <w:rFonts w:ascii="Times New Roman" w:hAnsi="Times New Roman" w:cs="Times New Roman"/>
          <w:noProof w:val="0"/>
        </w:rPr>
        <w:t xml:space="preserve">ow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A31DD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nergy (LCE)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nvestment. </w:t>
      </w:r>
      <w:r w:rsidRPr="00732156">
        <w:rPr>
          <w:rFonts w:ascii="Times New Roman" w:hAnsi="Times New Roman" w:cs="Times New Roman"/>
          <w:i/>
          <w:noProof w:val="0"/>
        </w:rPr>
        <w:t xml:space="preserve">Energy Policy </w:t>
      </w:r>
      <w:r w:rsidRPr="00732156">
        <w:rPr>
          <w:rFonts w:ascii="Times New Roman" w:hAnsi="Times New Roman" w:cs="Times New Roman"/>
          <w:iCs/>
          <w:noProof w:val="0"/>
        </w:rPr>
        <w:t>89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271-283.</w:t>
      </w:r>
    </w:p>
    <w:p w14:paraId="19EC3784" w14:textId="19B63F8F" w:rsidR="00410539" w:rsidRPr="00732156" w:rsidRDefault="00410539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Mol, A</w:t>
      </w:r>
      <w:r w:rsidR="006A31DD" w:rsidRPr="00732156">
        <w:rPr>
          <w:rFonts w:ascii="Times New Roman" w:hAnsi="Times New Roman" w:cs="Times New Roman"/>
          <w:noProof w:val="0"/>
        </w:rPr>
        <w:t>rthur P. J.</w:t>
      </w:r>
      <w:r w:rsidRPr="00732156">
        <w:rPr>
          <w:rFonts w:ascii="Times New Roman" w:hAnsi="Times New Roman" w:cs="Times New Roman"/>
          <w:noProof w:val="0"/>
        </w:rPr>
        <w:t xml:space="preserve"> 2002. Ecological </w:t>
      </w:r>
      <w:r w:rsidR="006A31DD" w:rsidRPr="00732156">
        <w:rPr>
          <w:rFonts w:ascii="Times New Roman" w:hAnsi="Times New Roman" w:cs="Times New Roman"/>
          <w:noProof w:val="0"/>
        </w:rPr>
        <w:t>M</w:t>
      </w:r>
      <w:r w:rsidRPr="00732156">
        <w:rPr>
          <w:rFonts w:ascii="Times New Roman" w:hAnsi="Times New Roman" w:cs="Times New Roman"/>
          <w:noProof w:val="0"/>
        </w:rPr>
        <w:t xml:space="preserve">odernization and the </w:t>
      </w:r>
      <w:r w:rsidR="006A31DD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lobal </w:t>
      </w:r>
      <w:r w:rsidR="006A31DD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conomy. </w:t>
      </w:r>
      <w:r w:rsidRPr="00732156">
        <w:rPr>
          <w:rFonts w:ascii="Times New Roman" w:hAnsi="Times New Roman" w:cs="Times New Roman"/>
          <w:i/>
          <w:noProof w:val="0"/>
        </w:rPr>
        <w:t xml:space="preserve">Global Environmental Politics </w:t>
      </w:r>
      <w:r w:rsidRPr="00732156">
        <w:rPr>
          <w:rFonts w:ascii="Times New Roman" w:hAnsi="Times New Roman" w:cs="Times New Roman"/>
          <w:iCs/>
          <w:noProof w:val="0"/>
        </w:rPr>
        <w:t>2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(2)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92-115. </w:t>
      </w:r>
    </w:p>
    <w:p w14:paraId="77CEF91C" w14:textId="150634E8" w:rsidR="00021E25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Perdan, S</w:t>
      </w:r>
      <w:r w:rsidR="006A31DD" w:rsidRPr="00732156">
        <w:rPr>
          <w:rFonts w:ascii="Times New Roman" w:hAnsi="Times New Roman" w:cs="Times New Roman"/>
          <w:noProof w:val="0"/>
        </w:rPr>
        <w:t>lobodan,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A31DD" w:rsidRPr="00732156">
        <w:rPr>
          <w:rFonts w:ascii="Times New Roman" w:hAnsi="Times New Roman" w:cs="Times New Roman"/>
          <w:noProof w:val="0"/>
        </w:rPr>
        <w:t>and Adisa</w:t>
      </w:r>
      <w:r w:rsidRPr="00732156">
        <w:rPr>
          <w:rFonts w:ascii="Times New Roman" w:hAnsi="Times New Roman" w:cs="Times New Roman"/>
          <w:noProof w:val="0"/>
        </w:rPr>
        <w:t xml:space="preserve"> Azapagic. 2011. Carbon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rading: Current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chemes and </w:t>
      </w:r>
      <w:r w:rsidR="006A31DD" w:rsidRPr="00732156">
        <w:rPr>
          <w:rFonts w:ascii="Times New Roman" w:hAnsi="Times New Roman" w:cs="Times New Roman"/>
          <w:noProof w:val="0"/>
        </w:rPr>
        <w:t>F</w:t>
      </w:r>
      <w:r w:rsidRPr="00732156">
        <w:rPr>
          <w:rFonts w:ascii="Times New Roman" w:hAnsi="Times New Roman" w:cs="Times New Roman"/>
          <w:noProof w:val="0"/>
        </w:rPr>
        <w:t xml:space="preserve">uture </w:t>
      </w:r>
      <w:r w:rsidR="006A31DD" w:rsidRPr="00732156">
        <w:rPr>
          <w:rFonts w:ascii="Times New Roman" w:hAnsi="Times New Roman" w:cs="Times New Roman"/>
          <w:noProof w:val="0"/>
        </w:rPr>
        <w:t>D</w:t>
      </w:r>
      <w:r w:rsidRPr="00732156">
        <w:rPr>
          <w:rFonts w:ascii="Times New Roman" w:hAnsi="Times New Roman" w:cs="Times New Roman"/>
          <w:noProof w:val="0"/>
        </w:rPr>
        <w:t xml:space="preserve">evelopments. </w:t>
      </w:r>
      <w:r w:rsidRPr="00732156">
        <w:rPr>
          <w:rFonts w:ascii="Times New Roman" w:hAnsi="Times New Roman" w:cs="Times New Roman"/>
          <w:i/>
          <w:noProof w:val="0"/>
        </w:rPr>
        <w:t xml:space="preserve">Energy Policy </w:t>
      </w:r>
      <w:r w:rsidRPr="00732156">
        <w:rPr>
          <w:rFonts w:ascii="Times New Roman" w:hAnsi="Times New Roman" w:cs="Times New Roman"/>
          <w:iCs/>
          <w:noProof w:val="0"/>
        </w:rPr>
        <w:t>39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(10)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6040-6054.</w:t>
      </w:r>
    </w:p>
    <w:p w14:paraId="2A2860B4" w14:textId="3A95496F" w:rsidR="008607C8" w:rsidRPr="002B430D" w:rsidRDefault="008607C8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>
        <w:rPr>
          <w:rFonts w:ascii="Times New Roman" w:hAnsi="Times New Roman" w:cs="Times New Roman"/>
          <w:noProof w:val="0"/>
        </w:rPr>
        <w:lastRenderedPageBreak/>
        <w:t>Pu</w:t>
      </w:r>
      <w:r w:rsidR="004F750B">
        <w:rPr>
          <w:rFonts w:ascii="Times New Roman" w:hAnsi="Times New Roman" w:cs="Times New Roman"/>
          <w:noProof w:val="0"/>
        </w:rPr>
        <w:t xml:space="preserve">stejovski, James E., and Elizabeth Tipton. </w:t>
      </w:r>
      <w:r w:rsidR="00124DA9">
        <w:rPr>
          <w:rFonts w:ascii="Times New Roman" w:hAnsi="Times New Roman" w:cs="Times New Roman"/>
          <w:noProof w:val="0"/>
        </w:rPr>
        <w:t xml:space="preserve">2018. Small-Sample Methods for Cluster-Robust Variance Estimation and Hypothesis Testing in Fixed Effects Models. </w:t>
      </w:r>
      <w:r w:rsidR="002B430D">
        <w:rPr>
          <w:rFonts w:ascii="Times New Roman" w:hAnsi="Times New Roman" w:cs="Times New Roman"/>
          <w:i/>
          <w:iCs/>
          <w:noProof w:val="0"/>
        </w:rPr>
        <w:t xml:space="preserve">Journal of Business &amp; Economic Statistics </w:t>
      </w:r>
      <w:r w:rsidR="002B430D">
        <w:rPr>
          <w:rFonts w:ascii="Times New Roman" w:hAnsi="Times New Roman" w:cs="Times New Roman"/>
          <w:noProof w:val="0"/>
        </w:rPr>
        <w:t xml:space="preserve">36 (4): </w:t>
      </w:r>
      <w:r w:rsidR="00AB601B">
        <w:rPr>
          <w:rFonts w:ascii="Times New Roman" w:hAnsi="Times New Roman" w:cs="Times New Roman"/>
          <w:noProof w:val="0"/>
        </w:rPr>
        <w:t>672-683.</w:t>
      </w:r>
    </w:p>
    <w:p w14:paraId="34C5101D" w14:textId="69ABB8FA" w:rsidR="00410539" w:rsidRPr="00732156" w:rsidRDefault="00410539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Reilly, J</w:t>
      </w:r>
      <w:r w:rsidR="006A31DD" w:rsidRPr="00732156">
        <w:rPr>
          <w:rFonts w:ascii="Times New Roman" w:hAnsi="Times New Roman" w:cs="Times New Roman"/>
          <w:noProof w:val="0"/>
        </w:rPr>
        <w:t>ohn.</w:t>
      </w:r>
      <w:r w:rsidRPr="00732156">
        <w:rPr>
          <w:rFonts w:ascii="Times New Roman" w:hAnsi="Times New Roman" w:cs="Times New Roman"/>
          <w:noProof w:val="0"/>
        </w:rPr>
        <w:t xml:space="preserve"> 2013. Achieving a </w:t>
      </w:r>
      <w:r w:rsidR="006A31DD" w:rsidRPr="00732156">
        <w:rPr>
          <w:rFonts w:ascii="Times New Roman" w:hAnsi="Times New Roman" w:cs="Times New Roman"/>
          <w:noProof w:val="0"/>
        </w:rPr>
        <w:t>L</w:t>
      </w:r>
      <w:r w:rsidRPr="00732156">
        <w:rPr>
          <w:rFonts w:ascii="Times New Roman" w:hAnsi="Times New Roman" w:cs="Times New Roman"/>
          <w:noProof w:val="0"/>
        </w:rPr>
        <w:t xml:space="preserve">ow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arbon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ociety. </w:t>
      </w:r>
      <w:r w:rsidRPr="00732156">
        <w:rPr>
          <w:rFonts w:ascii="Times New Roman" w:hAnsi="Times New Roman" w:cs="Times New Roman"/>
          <w:i/>
          <w:noProof w:val="0"/>
        </w:rPr>
        <w:t xml:space="preserve">Climate Policy </w:t>
      </w:r>
      <w:r w:rsidRPr="00732156">
        <w:rPr>
          <w:rFonts w:ascii="Times New Roman" w:hAnsi="Times New Roman" w:cs="Times New Roman"/>
          <w:iCs/>
          <w:noProof w:val="0"/>
        </w:rPr>
        <w:t>13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(S1)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S155-S158.</w:t>
      </w:r>
    </w:p>
    <w:p w14:paraId="5A379DA2" w14:textId="02173E63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Rogge, K</w:t>
      </w:r>
      <w:r w:rsidR="006A31DD" w:rsidRPr="00732156">
        <w:rPr>
          <w:rFonts w:ascii="Times New Roman" w:hAnsi="Times New Roman" w:cs="Times New Roman"/>
          <w:noProof w:val="0"/>
        </w:rPr>
        <w:t>aroline</w:t>
      </w:r>
      <w:r w:rsidRPr="00732156">
        <w:rPr>
          <w:rFonts w:ascii="Times New Roman" w:hAnsi="Times New Roman" w:cs="Times New Roman"/>
          <w:noProof w:val="0"/>
        </w:rPr>
        <w:t xml:space="preserve"> S., </w:t>
      </w:r>
      <w:r w:rsidR="006A31DD" w:rsidRPr="00732156">
        <w:rPr>
          <w:rFonts w:ascii="Times New Roman" w:hAnsi="Times New Roman" w:cs="Times New Roman"/>
          <w:noProof w:val="0"/>
        </w:rPr>
        <w:t>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A31DD" w:rsidRPr="00732156">
        <w:rPr>
          <w:rFonts w:ascii="Times New Roman" w:hAnsi="Times New Roman" w:cs="Times New Roman"/>
          <w:noProof w:val="0"/>
        </w:rPr>
        <w:t xml:space="preserve">Volker H. </w:t>
      </w:r>
      <w:r w:rsidRPr="00732156">
        <w:rPr>
          <w:rFonts w:ascii="Times New Roman" w:hAnsi="Times New Roman" w:cs="Times New Roman"/>
          <w:noProof w:val="0"/>
        </w:rPr>
        <w:t>Hoffmann</w:t>
      </w:r>
      <w:r w:rsidR="006A31DD" w:rsidRPr="00732156">
        <w:rPr>
          <w:rFonts w:ascii="Times New Roman" w:hAnsi="Times New Roman" w:cs="Times New Roman"/>
          <w:noProof w:val="0"/>
        </w:rPr>
        <w:t>.</w:t>
      </w:r>
      <w:r w:rsidRPr="00732156">
        <w:rPr>
          <w:rFonts w:ascii="Times New Roman" w:hAnsi="Times New Roman" w:cs="Times New Roman"/>
          <w:noProof w:val="0"/>
        </w:rPr>
        <w:t xml:space="preserve"> 2010. The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mpact of the EU ETS on the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ectoral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nnovation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ystem for </w:t>
      </w:r>
      <w:r w:rsidR="006A31DD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ower </w:t>
      </w:r>
      <w:r w:rsidR="006A31DD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eneration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echnologies </w:t>
      </w:r>
      <w:r w:rsidRPr="00732156">
        <w:rPr>
          <w:rFonts w:ascii="Times New Roman" w:eastAsia="바탕" w:hAnsi="Times New Roman" w:cs="Times New Roman"/>
          <w:noProof w:val="0"/>
        </w:rPr>
        <w:t>–</w:t>
      </w:r>
      <w:r w:rsidRPr="00732156">
        <w:rPr>
          <w:rFonts w:ascii="Times New Roman" w:hAnsi="Times New Roman" w:cs="Times New Roman"/>
          <w:noProof w:val="0"/>
        </w:rPr>
        <w:t xml:space="preserve"> Findings for Germany. </w:t>
      </w:r>
      <w:r w:rsidRPr="00732156">
        <w:rPr>
          <w:rFonts w:ascii="Times New Roman" w:hAnsi="Times New Roman" w:cs="Times New Roman"/>
          <w:i/>
          <w:noProof w:val="0"/>
        </w:rPr>
        <w:t xml:space="preserve">Energy Policy </w:t>
      </w:r>
      <w:r w:rsidRPr="00732156">
        <w:rPr>
          <w:rFonts w:ascii="Times New Roman" w:hAnsi="Times New Roman" w:cs="Times New Roman"/>
          <w:iCs/>
          <w:noProof w:val="0"/>
        </w:rPr>
        <w:t>38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(12)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7639-7652.</w:t>
      </w:r>
    </w:p>
    <w:p w14:paraId="22A73070" w14:textId="4A3754A7" w:rsidR="00021E25" w:rsidRPr="00732156" w:rsidRDefault="00021E25" w:rsidP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Rogge, K</w:t>
      </w:r>
      <w:r w:rsidR="006A31DD" w:rsidRPr="00732156">
        <w:rPr>
          <w:rFonts w:ascii="Times New Roman" w:hAnsi="Times New Roman" w:cs="Times New Roman"/>
          <w:noProof w:val="0"/>
        </w:rPr>
        <w:t>aroline</w:t>
      </w:r>
      <w:r w:rsidRPr="00732156">
        <w:rPr>
          <w:rFonts w:ascii="Times New Roman" w:hAnsi="Times New Roman" w:cs="Times New Roman"/>
          <w:noProof w:val="0"/>
        </w:rPr>
        <w:t xml:space="preserve"> S., </w:t>
      </w:r>
      <w:r w:rsidR="006A31DD" w:rsidRPr="00732156">
        <w:rPr>
          <w:rFonts w:ascii="Times New Roman" w:hAnsi="Times New Roman" w:cs="Times New Roman"/>
          <w:noProof w:val="0"/>
        </w:rPr>
        <w:t xml:space="preserve">Malte </w:t>
      </w:r>
      <w:r w:rsidRPr="00732156">
        <w:rPr>
          <w:rFonts w:ascii="Times New Roman" w:hAnsi="Times New Roman" w:cs="Times New Roman"/>
          <w:noProof w:val="0"/>
        </w:rPr>
        <w:t xml:space="preserve">Schneider, </w:t>
      </w:r>
      <w:r w:rsidR="006A31DD" w:rsidRPr="00732156">
        <w:rPr>
          <w:rFonts w:ascii="Times New Roman" w:hAnsi="Times New Roman" w:cs="Times New Roman"/>
          <w:noProof w:val="0"/>
        </w:rPr>
        <w:t>and</w:t>
      </w:r>
      <w:r w:rsidRPr="00732156">
        <w:rPr>
          <w:rFonts w:ascii="Times New Roman" w:hAnsi="Times New Roman" w:cs="Times New Roman"/>
          <w:noProof w:val="0"/>
        </w:rPr>
        <w:t xml:space="preserve"> </w:t>
      </w:r>
      <w:r w:rsidR="006A31DD" w:rsidRPr="00732156">
        <w:rPr>
          <w:rFonts w:ascii="Times New Roman" w:hAnsi="Times New Roman" w:cs="Times New Roman"/>
          <w:noProof w:val="0"/>
        </w:rPr>
        <w:t xml:space="preserve">Volker H. </w:t>
      </w:r>
      <w:r w:rsidRPr="00732156">
        <w:rPr>
          <w:rFonts w:ascii="Times New Roman" w:hAnsi="Times New Roman" w:cs="Times New Roman"/>
          <w:noProof w:val="0"/>
        </w:rPr>
        <w:t xml:space="preserve">Hoffmann. 2011. The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nnovation </w:t>
      </w:r>
      <w:r w:rsidR="006A31DD" w:rsidRPr="00732156">
        <w:rPr>
          <w:rFonts w:ascii="Times New Roman" w:hAnsi="Times New Roman" w:cs="Times New Roman"/>
          <w:noProof w:val="0"/>
        </w:rPr>
        <w:t>I</w:t>
      </w:r>
      <w:r w:rsidRPr="00732156">
        <w:rPr>
          <w:rFonts w:ascii="Times New Roman" w:hAnsi="Times New Roman" w:cs="Times New Roman"/>
          <w:noProof w:val="0"/>
        </w:rPr>
        <w:t xml:space="preserve">mpact of the EU Emission Trading System </w:t>
      </w:r>
      <w:r w:rsidRPr="00732156">
        <w:rPr>
          <w:rFonts w:ascii="Times New Roman" w:eastAsia="바탕" w:hAnsi="Times New Roman" w:cs="Times New Roman"/>
          <w:noProof w:val="0"/>
        </w:rPr>
        <w:t>—</w:t>
      </w:r>
      <w:r w:rsidRPr="00732156">
        <w:rPr>
          <w:rFonts w:ascii="Times New Roman" w:hAnsi="Times New Roman" w:cs="Times New Roman"/>
          <w:noProof w:val="0"/>
        </w:rPr>
        <w:t xml:space="preserve"> Findings of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ompany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ase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tudies in the German </w:t>
      </w:r>
      <w:r w:rsidR="006A31DD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ower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ector. </w:t>
      </w:r>
      <w:r w:rsidRPr="00732156">
        <w:rPr>
          <w:rFonts w:ascii="Times New Roman" w:hAnsi="Times New Roman" w:cs="Times New Roman"/>
          <w:i/>
          <w:noProof w:val="0"/>
        </w:rPr>
        <w:t xml:space="preserve">Ecological Economics </w:t>
      </w:r>
      <w:r w:rsidRPr="00732156">
        <w:rPr>
          <w:rFonts w:ascii="Times New Roman" w:hAnsi="Times New Roman" w:cs="Times New Roman"/>
          <w:iCs/>
          <w:noProof w:val="0"/>
        </w:rPr>
        <w:t>70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(3)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513-523. </w:t>
      </w:r>
    </w:p>
    <w:p w14:paraId="26FEECD7" w14:textId="3AB884C7" w:rsidR="00BD223E" w:rsidRPr="00732156" w:rsidRDefault="00021E25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Sandoff, A</w:t>
      </w:r>
      <w:r w:rsidR="006A31DD" w:rsidRPr="00732156">
        <w:rPr>
          <w:rFonts w:ascii="Times New Roman" w:hAnsi="Times New Roman" w:cs="Times New Roman"/>
          <w:noProof w:val="0"/>
        </w:rPr>
        <w:t xml:space="preserve">nders, and Gariela </w:t>
      </w:r>
      <w:r w:rsidRPr="00732156">
        <w:rPr>
          <w:rFonts w:ascii="Times New Roman" w:hAnsi="Times New Roman" w:cs="Times New Roman"/>
          <w:noProof w:val="0"/>
        </w:rPr>
        <w:t>Schaad</w:t>
      </w:r>
      <w:r w:rsidR="006A31DD" w:rsidRPr="00732156">
        <w:rPr>
          <w:rFonts w:ascii="Times New Roman" w:hAnsi="Times New Roman" w:cs="Times New Roman"/>
          <w:noProof w:val="0"/>
        </w:rPr>
        <w:t>.</w:t>
      </w:r>
      <w:r w:rsidRPr="00732156">
        <w:rPr>
          <w:rFonts w:ascii="Times New Roman" w:hAnsi="Times New Roman" w:cs="Times New Roman"/>
          <w:noProof w:val="0"/>
        </w:rPr>
        <w:t xml:space="preserve"> 2009. Does EU ETS </w:t>
      </w:r>
      <w:r w:rsidR="006A31DD" w:rsidRPr="00732156">
        <w:rPr>
          <w:rFonts w:ascii="Times New Roman" w:hAnsi="Times New Roman" w:cs="Times New Roman"/>
          <w:noProof w:val="0"/>
        </w:rPr>
        <w:t>L</w:t>
      </w:r>
      <w:r w:rsidRPr="00732156">
        <w:rPr>
          <w:rFonts w:ascii="Times New Roman" w:hAnsi="Times New Roman" w:cs="Times New Roman"/>
          <w:noProof w:val="0"/>
        </w:rPr>
        <w:t xml:space="preserve">ead to </w:t>
      </w:r>
      <w:r w:rsidR="006A31DD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mission </w:t>
      </w:r>
      <w:r w:rsidR="006A31DD" w:rsidRPr="00732156">
        <w:rPr>
          <w:rFonts w:ascii="Times New Roman" w:hAnsi="Times New Roman" w:cs="Times New Roman"/>
          <w:noProof w:val="0"/>
        </w:rPr>
        <w:t>R</w:t>
      </w:r>
      <w:r w:rsidRPr="00732156">
        <w:rPr>
          <w:rFonts w:ascii="Times New Roman" w:hAnsi="Times New Roman" w:cs="Times New Roman"/>
          <w:noProof w:val="0"/>
        </w:rPr>
        <w:t xml:space="preserve">eductions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hrough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rade? The </w:t>
      </w:r>
      <w:r w:rsidR="006A31DD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ase of the Swedish </w:t>
      </w:r>
      <w:r w:rsidR="006A31DD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missions </w:t>
      </w:r>
      <w:r w:rsidR="006A31DD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rading </w:t>
      </w:r>
      <w:r w:rsidR="006A31DD" w:rsidRPr="00732156">
        <w:rPr>
          <w:rFonts w:ascii="Times New Roman" w:hAnsi="Times New Roman" w:cs="Times New Roman"/>
          <w:noProof w:val="0"/>
        </w:rPr>
        <w:t>S</w:t>
      </w:r>
      <w:r w:rsidRPr="00732156">
        <w:rPr>
          <w:rFonts w:ascii="Times New Roman" w:hAnsi="Times New Roman" w:cs="Times New Roman"/>
          <w:noProof w:val="0"/>
        </w:rPr>
        <w:t xml:space="preserve">ector </w:t>
      </w:r>
      <w:r w:rsidR="006A31DD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articipants. </w:t>
      </w:r>
      <w:r w:rsidRPr="00732156">
        <w:rPr>
          <w:rFonts w:ascii="Times New Roman" w:hAnsi="Times New Roman" w:cs="Times New Roman"/>
          <w:i/>
          <w:noProof w:val="0"/>
        </w:rPr>
        <w:t>Energy Polic</w:t>
      </w:r>
      <w:r w:rsidR="006A31DD" w:rsidRPr="00732156">
        <w:rPr>
          <w:rFonts w:ascii="Times New Roman" w:hAnsi="Times New Roman" w:cs="Times New Roman"/>
          <w:i/>
          <w:noProof w:val="0"/>
        </w:rPr>
        <w:t>y</w:t>
      </w:r>
      <w:r w:rsidRPr="00732156">
        <w:rPr>
          <w:rFonts w:ascii="Times New Roman" w:hAnsi="Times New Roman" w:cs="Times New Roman"/>
          <w:i/>
          <w:noProof w:val="0"/>
        </w:rPr>
        <w:t xml:space="preserve"> </w:t>
      </w:r>
      <w:r w:rsidRPr="00732156">
        <w:rPr>
          <w:rFonts w:ascii="Times New Roman" w:hAnsi="Times New Roman" w:cs="Times New Roman"/>
          <w:iCs/>
          <w:noProof w:val="0"/>
        </w:rPr>
        <w:t>37</w:t>
      </w:r>
      <w:r w:rsidR="006A31DD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(10)</w:t>
      </w:r>
      <w:r w:rsidR="006A31DD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3967-3977.</w:t>
      </w:r>
    </w:p>
    <w:p w14:paraId="60FDAECA" w14:textId="1D40631D" w:rsidR="00BD223E" w:rsidRPr="00732156" w:rsidRDefault="00BD223E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  <w:sz w:val="24"/>
          <w:szCs w:val="24"/>
        </w:rPr>
        <w:t>Schneider</w:t>
      </w:r>
      <w:r w:rsidR="006A31DD" w:rsidRPr="00732156">
        <w:rPr>
          <w:rFonts w:ascii="Times New Roman" w:hAnsi="Times New Roman" w:cs="Times New Roman"/>
          <w:noProof w:val="0"/>
          <w:sz w:val="24"/>
          <w:szCs w:val="24"/>
        </w:rPr>
        <w:t xml:space="preserve">, Lambert, Michael Lazarus, Carrie Lee, and Harro van Asselt. 2017. Restricted Linking of Emissions Trading Systems: Options, Benefits, and Challenges. </w:t>
      </w:r>
      <w:r w:rsidR="006A31DD" w:rsidRPr="00732156">
        <w:rPr>
          <w:rFonts w:ascii="Times New Roman" w:hAnsi="Times New Roman" w:cs="Times New Roman"/>
          <w:i/>
          <w:iCs/>
          <w:noProof w:val="0"/>
          <w:sz w:val="24"/>
          <w:szCs w:val="24"/>
        </w:rPr>
        <w:t xml:space="preserve">International Environmental Agreements: Politics, Law and Economics </w:t>
      </w:r>
      <w:r w:rsidR="006A31DD" w:rsidRPr="00732156">
        <w:rPr>
          <w:rFonts w:ascii="Times New Roman" w:hAnsi="Times New Roman" w:cs="Times New Roman"/>
          <w:noProof w:val="0"/>
          <w:sz w:val="24"/>
          <w:szCs w:val="24"/>
        </w:rPr>
        <w:t xml:space="preserve">17 (6): 883-898. </w:t>
      </w:r>
    </w:p>
    <w:p w14:paraId="267A478E" w14:textId="0E8F3DB8" w:rsidR="007D4E6A" w:rsidRPr="00732156" w:rsidRDefault="007D4E6A" w:rsidP="00A95F0A">
      <w:pPr>
        <w:pStyle w:val="EndNoteBibliography"/>
        <w:spacing w:after="0"/>
        <w:ind w:left="720" w:hanging="720"/>
        <w:rPr>
          <w:rFonts w:ascii="Times New Roman" w:hAnsi="Times New Roman" w:cs="Times New Roman"/>
          <w:noProof w:val="0"/>
        </w:rPr>
      </w:pPr>
      <w:r w:rsidRPr="00732156">
        <w:rPr>
          <w:rFonts w:ascii="Times New Roman" w:hAnsi="Times New Roman" w:cs="Times New Roman"/>
          <w:noProof w:val="0"/>
        </w:rPr>
        <w:t>Stavins, R</w:t>
      </w:r>
      <w:r w:rsidR="00EF1F78" w:rsidRPr="00732156">
        <w:rPr>
          <w:rFonts w:ascii="Times New Roman" w:hAnsi="Times New Roman" w:cs="Times New Roman"/>
          <w:noProof w:val="0"/>
        </w:rPr>
        <w:t>obert</w:t>
      </w:r>
      <w:r w:rsidRPr="00732156">
        <w:rPr>
          <w:rFonts w:ascii="Times New Roman" w:hAnsi="Times New Roman" w:cs="Times New Roman"/>
          <w:noProof w:val="0"/>
        </w:rPr>
        <w:t xml:space="preserve"> N. 1998. What </w:t>
      </w:r>
      <w:r w:rsidR="00EF1F78" w:rsidRPr="00732156">
        <w:rPr>
          <w:rFonts w:ascii="Times New Roman" w:hAnsi="Times New Roman" w:cs="Times New Roman"/>
          <w:noProof w:val="0"/>
        </w:rPr>
        <w:t>C</w:t>
      </w:r>
      <w:r w:rsidRPr="00732156">
        <w:rPr>
          <w:rFonts w:ascii="Times New Roman" w:hAnsi="Times New Roman" w:cs="Times New Roman"/>
          <w:noProof w:val="0"/>
        </w:rPr>
        <w:t xml:space="preserve">an </w:t>
      </w:r>
      <w:r w:rsidR="00EF1F78" w:rsidRPr="00732156">
        <w:rPr>
          <w:rFonts w:ascii="Times New Roman" w:hAnsi="Times New Roman" w:cs="Times New Roman"/>
          <w:noProof w:val="0"/>
        </w:rPr>
        <w:t>W</w:t>
      </w:r>
      <w:r w:rsidRPr="00732156">
        <w:rPr>
          <w:rFonts w:ascii="Times New Roman" w:hAnsi="Times New Roman" w:cs="Times New Roman"/>
          <w:noProof w:val="0"/>
        </w:rPr>
        <w:t xml:space="preserve">e </w:t>
      </w:r>
      <w:r w:rsidR="00EF1F78" w:rsidRPr="00732156">
        <w:rPr>
          <w:rFonts w:ascii="Times New Roman" w:hAnsi="Times New Roman" w:cs="Times New Roman"/>
          <w:noProof w:val="0"/>
        </w:rPr>
        <w:t>L</w:t>
      </w:r>
      <w:r w:rsidRPr="00732156">
        <w:rPr>
          <w:rFonts w:ascii="Times New Roman" w:hAnsi="Times New Roman" w:cs="Times New Roman"/>
          <w:noProof w:val="0"/>
        </w:rPr>
        <w:t xml:space="preserve">earn from the </w:t>
      </w:r>
      <w:r w:rsidR="00EF1F78" w:rsidRPr="00732156">
        <w:rPr>
          <w:rFonts w:ascii="Times New Roman" w:hAnsi="Times New Roman" w:cs="Times New Roman"/>
          <w:noProof w:val="0"/>
        </w:rPr>
        <w:t>G</w:t>
      </w:r>
      <w:r w:rsidRPr="00732156">
        <w:rPr>
          <w:rFonts w:ascii="Times New Roman" w:hAnsi="Times New Roman" w:cs="Times New Roman"/>
          <w:noProof w:val="0"/>
        </w:rPr>
        <w:t xml:space="preserve">rand </w:t>
      </w:r>
      <w:r w:rsidR="00EF1F78" w:rsidRPr="00732156">
        <w:rPr>
          <w:rFonts w:ascii="Times New Roman" w:hAnsi="Times New Roman" w:cs="Times New Roman"/>
          <w:noProof w:val="0"/>
        </w:rPr>
        <w:t>P</w:t>
      </w:r>
      <w:r w:rsidRPr="00732156">
        <w:rPr>
          <w:rFonts w:ascii="Times New Roman" w:hAnsi="Times New Roman" w:cs="Times New Roman"/>
          <w:noProof w:val="0"/>
        </w:rPr>
        <w:t xml:space="preserve">olicy </w:t>
      </w:r>
      <w:r w:rsidR="00EF1F78" w:rsidRPr="00732156">
        <w:rPr>
          <w:rFonts w:ascii="Times New Roman" w:hAnsi="Times New Roman" w:cs="Times New Roman"/>
          <w:noProof w:val="0"/>
        </w:rPr>
        <w:t>E</w:t>
      </w:r>
      <w:r w:rsidRPr="00732156">
        <w:rPr>
          <w:rFonts w:ascii="Times New Roman" w:hAnsi="Times New Roman" w:cs="Times New Roman"/>
          <w:noProof w:val="0"/>
        </w:rPr>
        <w:t xml:space="preserve">xperiment? Lessons from SO2 </w:t>
      </w:r>
      <w:r w:rsidR="00EF1F78" w:rsidRPr="00732156">
        <w:rPr>
          <w:rFonts w:ascii="Times New Roman" w:hAnsi="Times New Roman" w:cs="Times New Roman"/>
          <w:noProof w:val="0"/>
        </w:rPr>
        <w:t>A</w:t>
      </w:r>
      <w:r w:rsidRPr="00732156">
        <w:rPr>
          <w:rFonts w:ascii="Times New Roman" w:hAnsi="Times New Roman" w:cs="Times New Roman"/>
          <w:noProof w:val="0"/>
        </w:rPr>
        <w:t xml:space="preserve">llowance </w:t>
      </w:r>
      <w:r w:rsidR="00EF1F78" w:rsidRPr="00732156">
        <w:rPr>
          <w:rFonts w:ascii="Times New Roman" w:hAnsi="Times New Roman" w:cs="Times New Roman"/>
          <w:noProof w:val="0"/>
        </w:rPr>
        <w:t>T</w:t>
      </w:r>
      <w:r w:rsidRPr="00732156">
        <w:rPr>
          <w:rFonts w:ascii="Times New Roman" w:hAnsi="Times New Roman" w:cs="Times New Roman"/>
          <w:noProof w:val="0"/>
        </w:rPr>
        <w:t xml:space="preserve">rading. </w:t>
      </w:r>
      <w:r w:rsidRPr="00732156">
        <w:rPr>
          <w:rFonts w:ascii="Times New Roman" w:hAnsi="Times New Roman" w:cs="Times New Roman"/>
          <w:i/>
          <w:noProof w:val="0"/>
        </w:rPr>
        <w:t xml:space="preserve">Journal of Economic Perspectives </w:t>
      </w:r>
      <w:r w:rsidRPr="00732156">
        <w:rPr>
          <w:rFonts w:ascii="Times New Roman" w:hAnsi="Times New Roman" w:cs="Times New Roman"/>
          <w:iCs/>
          <w:noProof w:val="0"/>
        </w:rPr>
        <w:t>12</w:t>
      </w:r>
      <w:r w:rsidR="00EF1F78" w:rsidRPr="00732156">
        <w:rPr>
          <w:rFonts w:ascii="Times New Roman" w:hAnsi="Times New Roman" w:cs="Times New Roman"/>
          <w:noProof w:val="0"/>
        </w:rPr>
        <w:t xml:space="preserve"> </w:t>
      </w:r>
      <w:r w:rsidRPr="00732156">
        <w:rPr>
          <w:rFonts w:ascii="Times New Roman" w:hAnsi="Times New Roman" w:cs="Times New Roman"/>
          <w:noProof w:val="0"/>
        </w:rPr>
        <w:t>(3)</w:t>
      </w:r>
      <w:r w:rsidR="00EF1F78" w:rsidRPr="00732156">
        <w:rPr>
          <w:rFonts w:ascii="Times New Roman" w:hAnsi="Times New Roman" w:cs="Times New Roman"/>
          <w:noProof w:val="0"/>
        </w:rPr>
        <w:t>:</w:t>
      </w:r>
      <w:r w:rsidRPr="00732156">
        <w:rPr>
          <w:rFonts w:ascii="Times New Roman" w:hAnsi="Times New Roman" w:cs="Times New Roman"/>
          <w:noProof w:val="0"/>
        </w:rPr>
        <w:t xml:space="preserve"> 69-88. </w:t>
      </w:r>
    </w:p>
    <w:p w14:paraId="0D65BE5E" w14:textId="4AE08E2A" w:rsidR="00A0150C" w:rsidRPr="00732156" w:rsidRDefault="00842B84" w:rsidP="002F0E6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0150C" w:rsidRPr="00732156" w:rsidSect="00842B8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3215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B774DE" w14:textId="4F1EBA58" w:rsidR="00FE7AF6" w:rsidRPr="00732156" w:rsidRDefault="000E4754" w:rsidP="00A46A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lastRenderedPageBreak/>
        <w:t>Appendix</w:t>
      </w:r>
      <w:r w:rsidR="00A0150C" w:rsidRPr="00732156">
        <w:rPr>
          <w:rFonts w:ascii="Times New Roman" w:hAnsi="Times New Roman" w:cs="Times New Roman"/>
          <w:sz w:val="24"/>
          <w:szCs w:val="24"/>
        </w:rPr>
        <w:t xml:space="preserve"> A. Table of correlation between variables used in Model 2 and its p-value (95% confidence interval) </w:t>
      </w:r>
    </w:p>
    <w:p w14:paraId="68DF9EBA" w14:textId="22039CE9" w:rsidR="00A0150C" w:rsidRPr="00732156" w:rsidRDefault="00692959" w:rsidP="00A46A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A1. </w:t>
      </w:r>
      <w:r w:rsidR="00A0150C" w:rsidRPr="00732156">
        <w:rPr>
          <w:rFonts w:ascii="Times New Roman" w:hAnsi="Times New Roman" w:cs="Times New Roman"/>
          <w:sz w:val="24"/>
          <w:szCs w:val="24"/>
        </w:rPr>
        <w:t>Correlation Table</w:t>
      </w:r>
    </w:p>
    <w:tbl>
      <w:tblPr>
        <w:tblW w:w="13535" w:type="dxa"/>
        <w:tblLook w:val="04A0" w:firstRow="1" w:lastRow="0" w:firstColumn="1" w:lastColumn="0" w:noHBand="0" w:noVBand="1"/>
      </w:tblPr>
      <w:tblGrid>
        <w:gridCol w:w="1431"/>
        <w:gridCol w:w="1092"/>
        <w:gridCol w:w="1092"/>
        <w:gridCol w:w="1092"/>
        <w:gridCol w:w="1092"/>
        <w:gridCol w:w="1341"/>
        <w:gridCol w:w="1252"/>
        <w:gridCol w:w="1092"/>
        <w:gridCol w:w="1431"/>
        <w:gridCol w:w="1393"/>
        <w:gridCol w:w="1230"/>
      </w:tblGrid>
      <w:tr w:rsidR="000A5361" w:rsidRPr="00732156" w14:paraId="43F1EA75" w14:textId="77777777" w:rsidTr="004D1F75">
        <w:trPr>
          <w:trHeight w:val="839"/>
        </w:trPr>
        <w:tc>
          <w:tcPr>
            <w:tcW w:w="143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86CD1A" w14:textId="77777777" w:rsidR="00545426" w:rsidRPr="00732156" w:rsidRDefault="00545426" w:rsidP="0054542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zh-CN"/>
              </w:rPr>
            </w:pPr>
          </w:p>
        </w:tc>
        <w:tc>
          <w:tcPr>
            <w:tcW w:w="10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75728" w14:textId="3C0D759F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Intensity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764E9" w14:textId="271C3201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Trading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70E25" w14:textId="2B22EAEA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Tax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67091" w14:textId="21A77529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Intensity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93D52" w14:textId="261B9B72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Electric Inefficiency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48B45" w14:textId="77777777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Renewable</w:t>
            </w:r>
          </w:p>
          <w:p w14:paraId="0F425A0B" w14:textId="5DF3EF49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Energy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B95D6" w14:textId="77777777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Fossil</w:t>
            </w:r>
          </w:p>
          <w:p w14:paraId="7F851702" w14:textId="42CC61DB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Fuel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09EB7" w14:textId="010B54BF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Urbanization Rate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C117E" w14:textId="77777777" w:rsidR="004D1F75" w:rsidRPr="00732156" w:rsidRDefault="00722B3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GDP </w:t>
            </w:r>
          </w:p>
          <w:p w14:paraId="7165970A" w14:textId="7B170587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Growth</w:t>
            </w:r>
            <w:r w:rsidR="00722B31"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Rate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03C30" w14:textId="35943EA2" w:rsidR="00545426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Level of Democracy</w:t>
            </w:r>
          </w:p>
        </w:tc>
      </w:tr>
      <w:tr w:rsidR="000A5361" w:rsidRPr="00732156" w14:paraId="245F96FE" w14:textId="77777777" w:rsidTr="004D1F75">
        <w:trPr>
          <w:trHeight w:val="501"/>
        </w:trPr>
        <w:tc>
          <w:tcPr>
            <w:tcW w:w="143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BC6F5C" w14:textId="62DF169E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Intensity</w:t>
            </w:r>
          </w:p>
        </w:tc>
        <w:tc>
          <w:tcPr>
            <w:tcW w:w="10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8E2A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0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B1BE6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-0.17695</w:t>
            </w:r>
          </w:p>
        </w:tc>
        <w:tc>
          <w:tcPr>
            <w:tcW w:w="10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9FF2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-0.05097</w:t>
            </w:r>
          </w:p>
        </w:tc>
        <w:tc>
          <w:tcPr>
            <w:tcW w:w="10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64C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0.420751</w:t>
            </w:r>
          </w:p>
        </w:tc>
        <w:tc>
          <w:tcPr>
            <w:tcW w:w="134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05E04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0.414343</w:t>
            </w:r>
          </w:p>
        </w:tc>
        <w:tc>
          <w:tcPr>
            <w:tcW w:w="12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3A7F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-0.23797</w:t>
            </w:r>
          </w:p>
        </w:tc>
        <w:tc>
          <w:tcPr>
            <w:tcW w:w="10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0A9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0.053781</w:t>
            </w:r>
          </w:p>
        </w:tc>
        <w:tc>
          <w:tcPr>
            <w:tcW w:w="143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25A55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-0.3697</w:t>
            </w:r>
          </w:p>
        </w:tc>
        <w:tc>
          <w:tcPr>
            <w:tcW w:w="139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039E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0.25253</w:t>
            </w:r>
          </w:p>
        </w:tc>
        <w:tc>
          <w:tcPr>
            <w:tcW w:w="1227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96620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-0.27898</w:t>
            </w:r>
          </w:p>
        </w:tc>
      </w:tr>
      <w:tr w:rsidR="000A5361" w:rsidRPr="00732156" w14:paraId="268A1B17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305F0D" w14:textId="6218D3BA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Trading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B21D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-0.17695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EA7E0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B1AA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0.090104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9A606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-0.08547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3009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-0.23708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B1EA4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0.087949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3355F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-0.07789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35567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0.092058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02CB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-0.30162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0D36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0.149109</w:t>
            </w:r>
          </w:p>
        </w:tc>
      </w:tr>
      <w:tr w:rsidR="000A5361" w:rsidRPr="00732156" w14:paraId="640F624F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65C1F1" w14:textId="77777777" w:rsidR="00722B3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</w:t>
            </w:r>
          </w:p>
          <w:p w14:paraId="1B3DF595" w14:textId="3045088C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Tax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31FC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-0.05097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62C05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0.090104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38DC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34D49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-0.14231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8A74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-0.00295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58297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0.535098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FBF1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-0.42006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3705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0.099966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A556F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0.084892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C5F44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0.08103</w:t>
            </w:r>
          </w:p>
        </w:tc>
      </w:tr>
      <w:tr w:rsidR="000A5361" w:rsidRPr="00732156" w14:paraId="3CCC4729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3B49CB" w14:textId="6A5FCA8F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Intensity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ABA1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0.420751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24A9E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-0.08547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55AB3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-0.14231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573E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CF7F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0.079184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2A75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-0.53334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38EE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0.611294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E7AA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-0.29632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3413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0.152756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A9754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-0.04607</w:t>
            </w:r>
          </w:p>
        </w:tc>
      </w:tr>
      <w:tr w:rsidR="000A5361" w:rsidRPr="00732156" w14:paraId="18132FF4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3D2BAFA" w14:textId="7F539791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Electric Inefficiency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BBC72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0.414343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94106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-0.23708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05454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-0.00295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E97E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0.079184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4B7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59D2E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0.190615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BABF9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-0.03355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16D7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-0.30173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21BF7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0.219523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7BE7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-0.48347</w:t>
            </w:r>
          </w:p>
        </w:tc>
      </w:tr>
      <w:tr w:rsidR="000A5361" w:rsidRPr="00732156" w14:paraId="34CBBDC8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548E8D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Renewable</w:t>
            </w:r>
          </w:p>
          <w:p w14:paraId="3323711E" w14:textId="39ED6C0C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Energy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75EB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-0.23797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8A17E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0.087949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8158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0.535098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F6D3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-0.53334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5451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0.190615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55FC5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7F930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-0.60841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F5A23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0.030146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D74A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-0.07306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D2546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-0.10136</w:t>
            </w:r>
          </w:p>
        </w:tc>
      </w:tr>
      <w:tr w:rsidR="000A5361" w:rsidRPr="00732156" w14:paraId="28A56AF9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863A4C6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Fossil</w:t>
            </w:r>
          </w:p>
          <w:p w14:paraId="073C62D9" w14:textId="51B53A49" w:rsidR="00545426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Fuel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8D35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0.053781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13090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-0.07789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0CA5F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-0.42006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071F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0.611294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1915D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-0.03355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254E8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-0.60841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23FE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1ADB3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-0.18113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1917B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0.017409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6F36C" w14:textId="77777777" w:rsidR="00545426" w:rsidRPr="00732156" w:rsidRDefault="00545426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0.053058</w:t>
            </w:r>
          </w:p>
        </w:tc>
      </w:tr>
      <w:tr w:rsidR="000A5361" w:rsidRPr="00732156" w14:paraId="29F5F771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05AC4B" w14:textId="19503176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Urbanization Rate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B149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-0.3697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0F0B3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0.092058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EB8D3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0.099966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6087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-0.29632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4E7D8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-0.30173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F2A48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0.030146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5B358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-0.18113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E10BB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4C6FF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-0.19171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32884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0.183174</w:t>
            </w:r>
          </w:p>
        </w:tc>
      </w:tr>
      <w:tr w:rsidR="000A5361" w:rsidRPr="00732156" w14:paraId="1E828592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227953" w14:textId="19409989" w:rsidR="000A5361" w:rsidRPr="00732156" w:rsidRDefault="00722B3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GDP Growth Rate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545BC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0.25253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11C4E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-0.30162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7C277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0.084892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C18CF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0.152756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0A547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0.219523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153BC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-0.07306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61CF4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0.017409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18553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-0.19171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47BF9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4C97D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-0.1205</w:t>
            </w:r>
          </w:p>
        </w:tc>
      </w:tr>
      <w:tr w:rsidR="000A5361" w:rsidRPr="00732156" w14:paraId="4B4488A5" w14:textId="77777777" w:rsidTr="004D1F75">
        <w:trPr>
          <w:trHeight w:val="501"/>
        </w:trPr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4AFE9E" w14:textId="7F92D5EF" w:rsidR="000A5361" w:rsidRPr="00732156" w:rsidRDefault="00722B3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Level of Democracy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6BF4D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-0.27898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5C6E4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0.149109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BCB1B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0.08103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BA015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-0.04607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8EDDE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-0.48347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A25E2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-0.10136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C0679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0.053058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132B7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0.183174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598A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-0.1205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EF2C7" w14:textId="77777777" w:rsidR="000A5361" w:rsidRPr="00732156" w:rsidRDefault="000A5361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</w:tr>
    </w:tbl>
    <w:p w14:paraId="4998B1EB" w14:textId="77777777" w:rsidR="00722B31" w:rsidRPr="00732156" w:rsidRDefault="00722B31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2301" w14:textId="77777777" w:rsidR="00722B31" w:rsidRPr="00732156" w:rsidRDefault="00722B31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31CED" w14:textId="77777777" w:rsidR="00722B31" w:rsidRPr="00732156" w:rsidRDefault="00722B31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B4772" w14:textId="7FA75894" w:rsidR="00A0150C" w:rsidRPr="00732156" w:rsidRDefault="00692959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156">
        <w:rPr>
          <w:rFonts w:ascii="Times New Roman" w:hAnsi="Times New Roman" w:cs="Times New Roman"/>
          <w:sz w:val="24"/>
          <w:szCs w:val="24"/>
        </w:rPr>
        <w:t xml:space="preserve">A2. </w:t>
      </w:r>
      <w:r w:rsidR="00A0150C" w:rsidRPr="00732156">
        <w:rPr>
          <w:rFonts w:ascii="Times New Roman" w:hAnsi="Times New Roman" w:cs="Times New Roman"/>
          <w:sz w:val="24"/>
          <w:szCs w:val="24"/>
        </w:rPr>
        <w:t>P-Value</w:t>
      </w:r>
      <w:r w:rsidRPr="00732156">
        <w:rPr>
          <w:rFonts w:ascii="Times New Roman" w:hAnsi="Times New Roman" w:cs="Times New Roman"/>
          <w:sz w:val="24"/>
          <w:szCs w:val="24"/>
        </w:rPr>
        <w:t xml:space="preserve"> Table</w:t>
      </w:r>
    </w:p>
    <w:tbl>
      <w:tblPr>
        <w:tblW w:w="12888" w:type="dxa"/>
        <w:tblLook w:val="04A0" w:firstRow="1" w:lastRow="0" w:firstColumn="1" w:lastColumn="0" w:noHBand="0" w:noVBand="1"/>
      </w:tblPr>
      <w:tblGrid>
        <w:gridCol w:w="1365"/>
        <w:gridCol w:w="1035"/>
        <w:gridCol w:w="1035"/>
        <w:gridCol w:w="1084"/>
        <w:gridCol w:w="986"/>
        <w:gridCol w:w="1279"/>
        <w:gridCol w:w="1194"/>
        <w:gridCol w:w="1145"/>
        <w:gridCol w:w="1365"/>
        <w:gridCol w:w="1419"/>
        <w:gridCol w:w="1230"/>
      </w:tblGrid>
      <w:tr w:rsidR="000A5361" w:rsidRPr="00732156" w14:paraId="4CC38366" w14:textId="77777777" w:rsidTr="00F62CF0">
        <w:trPr>
          <w:trHeight w:val="747"/>
        </w:trPr>
        <w:tc>
          <w:tcPr>
            <w:tcW w:w="136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5BDBA0" w14:textId="77777777" w:rsidR="000A5361" w:rsidRPr="00732156" w:rsidRDefault="000A5361" w:rsidP="000A5361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56CA1" w14:textId="546AB2BF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Intensity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53EB7" w14:textId="7F24E8FE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Trading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3F7C7" w14:textId="3B6DDC28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Tax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56C88" w14:textId="2319400F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Intensity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14BB6" w14:textId="1F3AF61F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Electric Inefficiency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2A3C9" w14:textId="77777777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Renewable</w:t>
            </w:r>
          </w:p>
          <w:p w14:paraId="5C0268B2" w14:textId="2F4218F8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Energy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E2F03" w14:textId="77777777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Fossil</w:t>
            </w:r>
          </w:p>
          <w:p w14:paraId="63775DDD" w14:textId="0A9E54F5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Fuel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8C205" w14:textId="36486BB2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Urbanization Rate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C76B" w14:textId="77777777" w:rsidR="004D1F75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GDP</w:t>
            </w:r>
            <w:r w:rsidR="004D1F75"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</w:p>
          <w:p w14:paraId="691838BE" w14:textId="534BACB7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Growth Rate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5C5D6" w14:textId="1A014185" w:rsidR="000A5361" w:rsidRPr="00732156" w:rsidRDefault="000A5361" w:rsidP="004D1F7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Level of Democracy</w:t>
            </w:r>
          </w:p>
        </w:tc>
      </w:tr>
      <w:tr w:rsidR="004D1F75" w:rsidRPr="00732156" w14:paraId="1DF43BA5" w14:textId="77777777" w:rsidTr="004D1F75">
        <w:trPr>
          <w:trHeight w:val="288"/>
        </w:trPr>
        <w:tc>
          <w:tcPr>
            <w:tcW w:w="13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394C609" w14:textId="298E3FB5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Intensity</w:t>
            </w:r>
          </w:p>
        </w:tc>
        <w:tc>
          <w:tcPr>
            <w:tcW w:w="10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E02E9" w14:textId="51FE1FF9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03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294F6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8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985F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0.232</w:t>
            </w:r>
          </w:p>
        </w:tc>
        <w:tc>
          <w:tcPr>
            <w:tcW w:w="98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5F4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2FAB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A28D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4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D5D1B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0.208</w:t>
            </w:r>
          </w:p>
        </w:tc>
        <w:tc>
          <w:tcPr>
            <w:tcW w:w="13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99399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036A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DE8A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</w:tr>
      <w:tr w:rsidR="004D1F75" w:rsidRPr="00732156" w14:paraId="6EBEA871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A0FA04" w14:textId="0B47E21F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Emission Trading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337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6FEB3" w14:textId="1D1D7730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5E1C7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39DC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0.045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9D44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0BB73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0.039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3EB9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0.068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DE44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8AB7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61EF6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</w:tr>
      <w:tr w:rsidR="004D1F75" w:rsidRPr="00732156" w14:paraId="39B9A49B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577CB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</w:t>
            </w:r>
          </w:p>
          <w:p w14:paraId="2350F887" w14:textId="07596D6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Tax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B281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0.232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DB40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2B77" w14:textId="0E723D3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D5EC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0.001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9DD5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0.945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E60A0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DAF2B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5E4A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2BBC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0.046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BAA86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0.057</w:t>
            </w:r>
          </w:p>
        </w:tc>
      </w:tr>
      <w:tr w:rsidR="004D1F75" w:rsidRPr="00732156" w14:paraId="68F5B0CB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ECA48E" w14:textId="3F48702F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Carbon Intensity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191B0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EC5F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0.045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D2A9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87E02" w14:textId="4FA3131D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6FCA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0.063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84CB1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3060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B31A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DB2B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DA31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0.28</w:t>
            </w:r>
          </w:p>
        </w:tc>
      </w:tr>
      <w:tr w:rsidR="004D1F75" w:rsidRPr="00732156" w14:paraId="34DAF796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8C51FC" w14:textId="1D78E1B6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Electric Inefficiency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1FC27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32235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43460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0.945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410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0.063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CC690" w14:textId="3E2118DA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A5E2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BB259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0.432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5DD8B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F5D7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3F281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</w:tr>
      <w:tr w:rsidR="004D1F75" w:rsidRPr="00732156" w14:paraId="08EE49BC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2B79CB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Renewable</w:t>
            </w:r>
          </w:p>
          <w:p w14:paraId="4F58FC39" w14:textId="3DEC339E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Energy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1028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ADD7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0.039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00C8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E7F00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AED8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3028" w14:textId="16C32A74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C6AF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13A6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B9BF4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0.087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A9B2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0.017</w:t>
            </w:r>
          </w:p>
        </w:tc>
      </w:tr>
      <w:tr w:rsidR="004D1F75" w:rsidRPr="00732156" w14:paraId="66F99D02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E4D2D0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Fossil</w:t>
            </w:r>
          </w:p>
          <w:p w14:paraId="388F77BB" w14:textId="38786DAC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110E1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0.208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180A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0.068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226E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BD67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E9B6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0.432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D471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C1FEF" w14:textId="5829C27D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1D59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CB972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0.683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31E9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0.214</w:t>
            </w:r>
          </w:p>
        </w:tc>
      </w:tr>
      <w:tr w:rsidR="004D1F75" w:rsidRPr="00732156" w14:paraId="211EBCEA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09563B" w14:textId="46E4EB72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Urbanization Rate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DDC9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5624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0.031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91A0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9957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8560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9ACF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0.48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DC9A9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E463E" w14:textId="3BAF890E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976F1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4BAC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</w:tr>
      <w:tr w:rsidR="004D1F75" w:rsidRPr="00732156" w14:paraId="66F76C42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3421535" w14:textId="640583CE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GDP Growth Rate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44E93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71959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42AC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0.046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AA82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BEE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2AE17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0.087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D59BD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0.683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84FAC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5532C" w14:textId="55171E89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A916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0.005</w:t>
            </w:r>
          </w:p>
        </w:tc>
      </w:tr>
      <w:tr w:rsidR="004D1F75" w:rsidRPr="00732156" w14:paraId="235BDAF6" w14:textId="77777777" w:rsidTr="004D1F75">
        <w:trPr>
          <w:trHeight w:val="288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0113D1" w14:textId="50579B04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Level of Democracy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20BB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88708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11B0A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0.057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7465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0.28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3682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072FF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0.017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862A7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0.214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551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73F6E" w14:textId="77777777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3215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94F81" w14:textId="2C0E27D2" w:rsidR="004D1F75" w:rsidRPr="00732156" w:rsidRDefault="004D1F75" w:rsidP="004D1F75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</w:tr>
    </w:tbl>
    <w:p w14:paraId="4851F1B2" w14:textId="6720F30A" w:rsidR="00A0150C" w:rsidRPr="00732156" w:rsidRDefault="00A0150C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D358C" w14:textId="77777777" w:rsidR="00284D39" w:rsidRPr="00732156" w:rsidRDefault="00284D39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84D39" w:rsidRPr="00732156" w:rsidSect="00A0150C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p w14:paraId="1DC88F29" w14:textId="5C723280" w:rsidR="00284D39" w:rsidRPr="00732156" w:rsidRDefault="00284D39" w:rsidP="00F62CF0">
      <w:pPr>
        <w:spacing w:line="360" w:lineRule="auto"/>
        <w:jc w:val="left"/>
        <w:rPr>
          <w:rFonts w:ascii="Times New Roman" w:hAnsi="Times New Roman" w:cs="Times New Roman"/>
          <w:sz w:val="21"/>
        </w:rPr>
      </w:pPr>
      <w:r w:rsidRPr="00732156">
        <w:rPr>
          <w:rFonts w:ascii="Times New Roman" w:hAnsi="Times New Roman" w:cs="Times New Roman"/>
          <w:bCs/>
          <w:sz w:val="24"/>
          <w:szCs w:val="24"/>
        </w:rPr>
        <w:lastRenderedPageBreak/>
        <w:t>Appendix B. Estimation</w:t>
      </w:r>
      <w:r w:rsidRPr="00732156">
        <w:rPr>
          <w:rFonts w:ascii="Times New Roman" w:hAnsi="Times New Roman" w:cs="Times New Roman"/>
          <w:sz w:val="24"/>
          <w:szCs w:val="24"/>
        </w:rPr>
        <w:t xml:space="preserve"> Results of Both the Fixed and Random Effects for Model 1 and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7"/>
        <w:gridCol w:w="1344"/>
        <w:gridCol w:w="1348"/>
        <w:gridCol w:w="1349"/>
        <w:gridCol w:w="1349"/>
        <w:gridCol w:w="2269"/>
      </w:tblGrid>
      <w:tr w:rsidR="00284D39" w:rsidRPr="00732156" w14:paraId="0AAA870C" w14:textId="77777777" w:rsidTr="00F62CF0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28CB85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688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148CEC" w14:textId="306D67F9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1</w:t>
            </w:r>
          </w:p>
          <w:p w14:paraId="496F313F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Emission intensity</w:t>
            </w:r>
          </w:p>
        </w:tc>
        <w:tc>
          <w:tcPr>
            <w:tcW w:w="270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C10CDC" w14:textId="4EDFD9D0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2</w:t>
            </w:r>
          </w:p>
          <w:p w14:paraId="0E173EFF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Emission intensity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885C5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Model 3</w:t>
            </w:r>
          </w:p>
          <w:p w14:paraId="099094D6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GHG emissions</w:t>
            </w:r>
          </w:p>
        </w:tc>
      </w:tr>
      <w:tr w:rsidR="00280863" w:rsidRPr="00732156" w14:paraId="427C8990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0B9EC4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Model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DBFACB" w14:textId="1A730B08" w:rsidR="00280863" w:rsidRPr="00732156" w:rsidRDefault="0028086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Fixed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6A304" w14:textId="591ED4F1" w:rsidR="00280863" w:rsidRPr="00732156" w:rsidRDefault="0028086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Random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2421A2" w14:textId="21E9F643" w:rsidR="00280863" w:rsidRPr="00732156" w:rsidRDefault="0028086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Fixed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3893D1" w14:textId="713C48DB" w:rsidR="00280863" w:rsidRPr="00732156" w:rsidRDefault="0028086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Random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8B77B7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732156">
              <w:rPr>
                <w:rFonts w:ascii="Times New Roman" w:hAnsi="Times New Roman" w:cs="Times New Roman"/>
                <w:b/>
                <w:bCs/>
                <w:sz w:val="21"/>
              </w:rPr>
              <w:t>Random Effect</w:t>
            </w:r>
          </w:p>
        </w:tc>
      </w:tr>
      <w:tr w:rsidR="00280863" w:rsidRPr="00732156" w14:paraId="3423B57F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B62A3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ETS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1FD4D1" w14:textId="25BF632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-119.208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D8B0C64" w14:textId="38C7251C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(13.509)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7F203A" w14:textId="45E8C2EE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-113.900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4104488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(12.715)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991A8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-106.997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628E1E3" w14:textId="379C14CC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(13.256)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A44B3D" w14:textId="5C626449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-102.500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D4A655F" w14:textId="5328383E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(12.727)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1FAE07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-5.896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4C640514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(2.960)</w:t>
            </w:r>
          </w:p>
        </w:tc>
      </w:tr>
      <w:tr w:rsidR="00280863" w:rsidRPr="00732156" w14:paraId="2F8AF8AD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F68BD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Carbon Tax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15A26A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-4.896</w:t>
            </w:r>
          </w:p>
          <w:p w14:paraId="215D0FEF" w14:textId="6126D6F8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(25.342)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5EEA75" w14:textId="52124139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-3.821</w:t>
            </w:r>
          </w:p>
          <w:p w14:paraId="255544F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(25.071)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D6A8D4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-40.295</w:t>
            </w:r>
          </w:p>
          <w:p w14:paraId="2A8FC911" w14:textId="3B17BB3C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(26.485)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72EC9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-33.840</w:t>
            </w:r>
          </w:p>
          <w:p w14:paraId="495DFDC8" w14:textId="3F46FCDF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(26.176)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DDAC5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-3.969</w:t>
            </w:r>
          </w:p>
          <w:p w14:paraId="142A22EF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(6.909)</w:t>
            </w:r>
          </w:p>
        </w:tc>
      </w:tr>
      <w:tr w:rsidR="00280863" w:rsidRPr="00732156" w14:paraId="14E3A6CB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72D420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Carbon Intensity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880960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71.620</w:t>
            </w:r>
          </w:p>
          <w:p w14:paraId="59036CD7" w14:textId="55467071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(72.650)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4089D9" w14:textId="75D3CA43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125.954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1FF5027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(60.948)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76CE2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94.790</w:t>
            </w:r>
          </w:p>
          <w:p w14:paraId="769B5567" w14:textId="20CE9FF5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(70.849)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97CA3" w14:textId="45AE3F1B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141.076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0FD78982" w14:textId="058AE7E0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(59.838)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C30259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-29.669</w:t>
            </w:r>
          </w:p>
          <w:p w14:paraId="063E08C8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(15.780)</w:t>
            </w:r>
          </w:p>
        </w:tc>
      </w:tr>
      <w:tr w:rsidR="00280863" w:rsidRPr="00732156" w14:paraId="6C039172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26DD1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Electricity Inefficiency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D3FCBB" w14:textId="01973ACF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17.051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981469A" w14:textId="1BF31462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(2.277)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BBF458" w14:textId="36139D2B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17.732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6F99B2E6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(2.222)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DB36E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16.074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7DCFE1FE" w14:textId="41D6C910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(2.233)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80ECBA" w14:textId="4C3D89A0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16.792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6DF4F81D" w14:textId="755BDEF3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(2.192)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DF663F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-1.789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3A62668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(.472)</w:t>
            </w:r>
          </w:p>
        </w:tc>
      </w:tr>
      <w:tr w:rsidR="00280863" w:rsidRPr="00732156" w14:paraId="1B5FCF21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EFA4C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Renewable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5E26C" w14:textId="256263F1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-12.472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1B6A19C6" w14:textId="6091D719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(2.341)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1EC9F" w14:textId="72CC1C64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-11.550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42F405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(2.120)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C2FA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-16.812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334BF924" w14:textId="6AEDB08C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(2.356)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42A035" w14:textId="6818DB92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-15.464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125D3F09" w14:textId="5BF80DA0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(2.164)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47FBE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-2.134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4A96EF1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(.509)</w:t>
            </w:r>
          </w:p>
        </w:tc>
      </w:tr>
      <w:tr w:rsidR="00280863" w:rsidRPr="00732156" w14:paraId="44EF501E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99E32E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Fossil Fuel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F2064F" w14:textId="4AA0DD0B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-6.820</w:t>
            </w:r>
            <w:r w:rsidRPr="00732156">
              <w:rPr>
                <w:rFonts w:ascii="Times New Roman" w:hAnsi="Times New Roman" w:cs="Times New Roman"/>
                <w:sz w:val="20"/>
                <w:vertAlign w:val="superscript"/>
              </w:rPr>
              <w:t>*</w:t>
            </w:r>
          </w:p>
          <w:p w14:paraId="3A210271" w14:textId="465DB20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(2.755)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D2C69" w14:textId="69D5621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-7.962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7D8D83A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(2.244)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9AED9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-8.022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32FD21B3" w14:textId="419A522A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(2.689)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842EAE" w14:textId="19502644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-8.713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7F3E36B0" w14:textId="510DA616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(2.209)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C4FEAB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1.711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706A9BFE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(.597)</w:t>
            </w:r>
          </w:p>
        </w:tc>
      </w:tr>
      <w:tr w:rsidR="00280863" w:rsidRPr="00732156" w14:paraId="269D8B34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E157A8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PolityIV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B85A2" w14:textId="0E4171C4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EC89D1" w14:textId="1B40E706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4EDC97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-21.301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25BBDAD6" w14:textId="647163B2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(4.232)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336C33" w14:textId="3F7D31C5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-21.413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0B378124" w14:textId="14EB23E8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(4.239)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61EBBC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</w:tr>
      <w:tr w:rsidR="00280863" w:rsidRPr="00732156" w14:paraId="0DEF95A9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F1FFC5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Urbanization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F1B18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4.460</w:t>
            </w:r>
          </w:p>
          <w:p w14:paraId="352623A7" w14:textId="26372B99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(3.126)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EDCCAE" w14:textId="6AC22584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0.924</w:t>
            </w:r>
          </w:p>
          <w:p w14:paraId="07D21E2F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(2.590)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0A918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5.300</w:t>
            </w:r>
          </w:p>
          <w:p w14:paraId="579D69AF" w14:textId="497D0D01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(3.026)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33A7FE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1.342</w:t>
            </w:r>
          </w:p>
          <w:p w14:paraId="05AFE640" w14:textId="54191765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(2.584)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20EA09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1.174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31BF2B5E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(.679)</w:t>
            </w:r>
          </w:p>
        </w:tc>
      </w:tr>
      <w:tr w:rsidR="00280863" w:rsidRPr="00732156" w14:paraId="239A0D8C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4D261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Economic Growth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908AA" w14:textId="31D169C8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-3.003</w:t>
            </w:r>
            <w:r w:rsidRPr="00732156">
              <w:rPr>
                <w:rFonts w:ascii="Times New Roman" w:hAnsi="Times New Roman" w:cs="Times New Roman"/>
                <w:sz w:val="20"/>
                <w:vertAlign w:val="superscript"/>
              </w:rPr>
              <w:t>*</w:t>
            </w:r>
          </w:p>
          <w:p w14:paraId="70369D73" w14:textId="3DA25D8D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(1.431)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A6ACA" w14:textId="05FDAF31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-3.133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1F9F9097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(1.429)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68C50A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-3.313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5A0FED02" w14:textId="175BFD22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(1.405)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705725" w14:textId="40EB26A3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-3.433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</w:t>
            </w:r>
          </w:p>
          <w:p w14:paraId="49A863E6" w14:textId="18186DCC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(1.408)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0D5CB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.305</w:t>
            </w:r>
          </w:p>
          <w:p w14:paraId="07AA1952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(.315)</w:t>
            </w:r>
          </w:p>
        </w:tc>
      </w:tr>
      <w:tr w:rsidR="00280863" w:rsidRPr="00732156" w14:paraId="5E5B1AD4" w14:textId="77777777" w:rsidTr="00280863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067485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Intercept</w:t>
            </w:r>
          </w:p>
        </w:tc>
        <w:tc>
          <w:tcPr>
            <w:tcW w:w="1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5A205D" w14:textId="49D3DDB8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B10927" w14:textId="572638B3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848.860</w:t>
            </w:r>
            <w:r w:rsidRPr="00732156">
              <w:rPr>
                <w:rFonts w:ascii="Times New Roman" w:hAnsi="Times New Roman" w:cs="Times New Roman"/>
                <w:sz w:val="21"/>
                <w:vertAlign w:val="superscript"/>
              </w:rPr>
              <w:t>**</w:t>
            </w:r>
          </w:p>
          <w:p w14:paraId="54B8FA27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(256.827)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A8F2F" w14:textId="2E4F8030" w:rsidR="00284D39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259A87" w14:textId="77777777" w:rsidR="00284D39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1108.123</w:t>
            </w:r>
          </w:p>
          <w:p w14:paraId="576193F7" w14:textId="4180BE0D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(254.388)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7656DA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102.653</w:t>
            </w:r>
          </w:p>
          <w:p w14:paraId="37EEC728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(76.746)</w:t>
            </w:r>
          </w:p>
        </w:tc>
      </w:tr>
      <w:tr w:rsidR="00284D39" w:rsidRPr="00732156" w14:paraId="11BDAC9F" w14:textId="77777777" w:rsidTr="00F62CF0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2113ED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N X T</w:t>
            </w:r>
          </w:p>
        </w:tc>
        <w:tc>
          <w:tcPr>
            <w:tcW w:w="2688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064DED" w14:textId="6938C75D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30 X 19</w:t>
            </w:r>
          </w:p>
        </w:tc>
        <w:tc>
          <w:tcPr>
            <w:tcW w:w="270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E86D58" w14:textId="1CEC7F82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29 X 19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78030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30 X 19</w:t>
            </w:r>
          </w:p>
        </w:tc>
      </w:tr>
      <w:tr w:rsidR="00280863" w:rsidRPr="00732156" w14:paraId="0722571B" w14:textId="77777777" w:rsidTr="00F62CF0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941AEA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i/>
                <w:sz w:val="21"/>
                <w:vertAlign w:val="superscript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Adj. R</w:t>
            </w:r>
            <w:r w:rsidRPr="00732156">
              <w:rPr>
                <w:rFonts w:ascii="Times New Roman" w:hAnsi="Times New Roman" w:cs="Times New Roman"/>
                <w:i/>
                <w:sz w:val="21"/>
                <w:vertAlign w:val="superscript"/>
              </w:rPr>
              <w:t>2</w:t>
            </w:r>
          </w:p>
        </w:tc>
        <w:tc>
          <w:tcPr>
            <w:tcW w:w="13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595C3" w14:textId="4E08FADB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.4228</w:t>
            </w:r>
          </w:p>
        </w:tc>
        <w:tc>
          <w:tcPr>
            <w:tcW w:w="13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D963F7" w14:textId="56CB59A5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.4410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0E3AC3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.5159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DCD638" w14:textId="77434F54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.4939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12F3DE" w14:textId="77777777" w:rsidR="00280863" w:rsidRPr="00732156" w:rsidRDefault="00280863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.2026</w:t>
            </w:r>
          </w:p>
        </w:tc>
      </w:tr>
      <w:tr w:rsidR="00284D39" w:rsidRPr="00732156" w14:paraId="25FF87B1" w14:textId="77777777" w:rsidTr="00F62CF0"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7456EA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i/>
                <w:sz w:val="21"/>
              </w:rPr>
            </w:pPr>
            <w:r w:rsidRPr="00732156">
              <w:rPr>
                <w:rFonts w:ascii="Times New Roman" w:hAnsi="Times New Roman" w:cs="Times New Roman"/>
                <w:i/>
                <w:sz w:val="21"/>
              </w:rPr>
              <w:t>Hausman Test</w:t>
            </w:r>
          </w:p>
        </w:tc>
        <w:tc>
          <w:tcPr>
            <w:tcW w:w="2688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371A03" w14:textId="01E0675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p=.1737</w:t>
            </w:r>
          </w:p>
        </w:tc>
        <w:tc>
          <w:tcPr>
            <w:tcW w:w="270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EDB81C" w14:textId="06598AA6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p=.0049</w:t>
            </w:r>
          </w:p>
        </w:tc>
        <w:tc>
          <w:tcPr>
            <w:tcW w:w="227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EDE6" w14:textId="77777777" w:rsidR="00284D39" w:rsidRPr="00732156" w:rsidRDefault="00284D39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p=.9958</w:t>
            </w:r>
          </w:p>
        </w:tc>
      </w:tr>
      <w:tr w:rsidR="00284D39" w:rsidRPr="00732156" w14:paraId="04D8222B" w14:textId="77777777" w:rsidTr="00F62CF0">
        <w:tc>
          <w:tcPr>
            <w:tcW w:w="9016" w:type="dxa"/>
            <w:gridSpan w:val="6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0563F2" w14:textId="23966743" w:rsidR="00284D39" w:rsidRPr="00732156" w:rsidRDefault="00284D39" w:rsidP="00F62CF0">
            <w:pPr>
              <w:jc w:val="left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Note:</w:t>
            </w:r>
            <w:r w:rsidR="002546A0" w:rsidRPr="00732156">
              <w:rPr>
                <w:rFonts w:ascii="Times New Roman" w:hAnsi="Times New Roman" w:cs="Times New Roman"/>
                <w:sz w:val="21"/>
              </w:rPr>
              <w:t xml:space="preserve"> Adjusted</w:t>
            </w:r>
            <w:r w:rsidRPr="00732156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732156">
              <w:rPr>
                <w:rFonts w:ascii="Times New Roman" w:hAnsi="Times New Roman" w:cs="Times New Roman"/>
                <w:i/>
                <w:sz w:val="21"/>
              </w:rPr>
              <w:t>R</w:t>
            </w:r>
            <w:r w:rsidRPr="00732156">
              <w:rPr>
                <w:rFonts w:ascii="Times New Roman" w:hAnsi="Times New Roman" w:cs="Times New Roman"/>
                <w:i/>
                <w:sz w:val="21"/>
                <w:vertAlign w:val="superscript"/>
              </w:rPr>
              <w:t>2</w:t>
            </w:r>
            <w:r w:rsidRPr="00732156">
              <w:rPr>
                <w:rFonts w:ascii="Times New Roman" w:hAnsi="Times New Roman" w:cs="Times New Roman"/>
                <w:sz w:val="21"/>
              </w:rPr>
              <w:t xml:space="preserve"> is reported. Standard errors are reported in parentheses. </w:t>
            </w:r>
          </w:p>
        </w:tc>
      </w:tr>
      <w:tr w:rsidR="00284D39" w:rsidRPr="00732156" w14:paraId="070A5FD7" w14:textId="77777777" w:rsidTr="00F62CF0">
        <w:tc>
          <w:tcPr>
            <w:tcW w:w="901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A38AA2" w14:textId="58ADFCF6" w:rsidR="00284D39" w:rsidRPr="00732156" w:rsidRDefault="00284D39" w:rsidP="00F62CF0">
            <w:pPr>
              <w:jc w:val="left"/>
              <w:rPr>
                <w:rFonts w:ascii="Times New Roman" w:hAnsi="Times New Roman" w:cs="Times New Roman"/>
                <w:sz w:val="21"/>
              </w:rPr>
            </w:pPr>
            <w:r w:rsidRPr="00732156">
              <w:rPr>
                <w:rFonts w:ascii="Times New Roman" w:hAnsi="Times New Roman" w:cs="Times New Roman"/>
                <w:sz w:val="21"/>
              </w:rPr>
              <w:t>*- p&lt;.05; **-p&lt;.01</w:t>
            </w:r>
          </w:p>
        </w:tc>
      </w:tr>
    </w:tbl>
    <w:p w14:paraId="0651B897" w14:textId="792508BD" w:rsidR="00284D39" w:rsidRPr="00732156" w:rsidRDefault="00284D39" w:rsidP="001D4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4D39" w:rsidRPr="00732156" w:rsidSect="00F62CF0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1F4" w14:textId="77777777" w:rsidR="00544319" w:rsidRDefault="00544319" w:rsidP="002F0E6A">
      <w:pPr>
        <w:spacing w:before="0" w:after="0" w:line="240" w:lineRule="auto"/>
      </w:pPr>
      <w:r>
        <w:separator/>
      </w:r>
    </w:p>
  </w:endnote>
  <w:endnote w:type="continuationSeparator" w:id="0">
    <w:p w14:paraId="5AFDE6B8" w14:textId="77777777" w:rsidR="00544319" w:rsidRDefault="00544319" w:rsidP="002F0E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F8A2" w14:textId="77777777" w:rsidR="008A32B1" w:rsidRDefault="008A32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49380715"/>
      <w:docPartObj>
        <w:docPartGallery w:val="Page Numbers (Bottom of Page)"/>
        <w:docPartUnique/>
      </w:docPartObj>
    </w:sdtPr>
    <w:sdtEndPr/>
    <w:sdtContent>
      <w:p w14:paraId="73BFC43B" w14:textId="3D003D59" w:rsidR="008A32B1" w:rsidRPr="00732156" w:rsidRDefault="008A32B1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3215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3215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3215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32156">
          <w:rPr>
            <w:rFonts w:ascii="Times New Roman" w:hAnsi="Times New Roman" w:cs="Times New Roman"/>
            <w:sz w:val="20"/>
            <w:szCs w:val="20"/>
          </w:rPr>
          <w:t>25</w:t>
        </w:r>
        <w:r w:rsidRPr="0073215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ED7F05D" w14:textId="77777777" w:rsidR="008A32B1" w:rsidRPr="00732156" w:rsidRDefault="008A32B1">
    <w:pPr>
      <w:pStyle w:val="a5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F0429" w14:textId="77777777" w:rsidR="008A32B1" w:rsidRPr="00732156" w:rsidRDefault="008A32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CA651" w14:textId="77777777" w:rsidR="00544319" w:rsidRDefault="00544319" w:rsidP="002F0E6A">
      <w:pPr>
        <w:spacing w:before="0" w:after="0" w:line="240" w:lineRule="auto"/>
      </w:pPr>
      <w:r>
        <w:separator/>
      </w:r>
    </w:p>
  </w:footnote>
  <w:footnote w:type="continuationSeparator" w:id="0">
    <w:p w14:paraId="2A41C405" w14:textId="77777777" w:rsidR="00544319" w:rsidRDefault="00544319" w:rsidP="002F0E6A">
      <w:pPr>
        <w:spacing w:before="0" w:after="0" w:line="240" w:lineRule="auto"/>
      </w:pPr>
      <w:r>
        <w:continuationSeparator/>
      </w:r>
    </w:p>
  </w:footnote>
  <w:footnote w:id="1">
    <w:p w14:paraId="02B183A0" w14:textId="3DFC6C60" w:rsidR="008A32B1" w:rsidRPr="003A5496" w:rsidRDefault="008A32B1">
      <w:pPr>
        <w:pStyle w:val="a8"/>
        <w:rPr>
          <w:rFonts w:ascii="Times New Roman" w:hAnsi="Times New Roman" w:cs="Times New Roman"/>
          <w:sz w:val="20"/>
        </w:rPr>
      </w:pPr>
      <w:r w:rsidRPr="003A5496">
        <w:rPr>
          <w:rStyle w:val="a9"/>
          <w:rFonts w:ascii="Times New Roman" w:hAnsi="Times New Roman" w:cs="Times New Roman"/>
          <w:sz w:val="20"/>
        </w:rPr>
        <w:footnoteRef/>
      </w:r>
      <w:r w:rsidRPr="003A5496">
        <w:rPr>
          <w:rFonts w:ascii="Times New Roman" w:hAnsi="Times New Roman" w:cs="Times New Roman"/>
          <w:sz w:val="20"/>
        </w:rPr>
        <w:t xml:space="preserve"> </w:t>
      </w:r>
      <w:r w:rsidRPr="00732156">
        <w:rPr>
          <w:rFonts w:ascii="Times New Roman" w:hAnsi="Times New Roman" w:cs="Times New Roman"/>
          <w:sz w:val="20"/>
        </w:rPr>
        <w:t xml:space="preserve">We report the result of a one-way ANOVA test as follows: Between ETS and non-ETS groups, the sum of squares (SS) was 2,202,703 (P-value: .000), and between carbon tax and non-carbon tax groups, SS was 750,210 (P-value: .016). A relatively high SS is attributed to a high variance in our dependent variable, emission intensity, which is shown in Table 4. </w:t>
      </w:r>
    </w:p>
  </w:footnote>
  <w:footnote w:id="2">
    <w:p w14:paraId="5FDE79A9" w14:textId="77777777" w:rsidR="008A32B1" w:rsidRPr="00732156" w:rsidRDefault="008A32B1" w:rsidP="00317C34">
      <w:pPr>
        <w:pStyle w:val="a8"/>
        <w:spacing w:line="240" w:lineRule="auto"/>
        <w:rPr>
          <w:rFonts w:ascii="Times New Roman" w:hAnsi="Times New Roman" w:cs="Times New Roman"/>
          <w:sz w:val="20"/>
        </w:rPr>
      </w:pPr>
      <w:r w:rsidRPr="003F6FAA">
        <w:rPr>
          <w:rStyle w:val="a9"/>
          <w:rFonts w:ascii="Times New Roman" w:hAnsi="Times New Roman" w:cs="Times New Roman"/>
          <w:sz w:val="20"/>
        </w:rPr>
        <w:footnoteRef/>
      </w:r>
      <w:r w:rsidRPr="003F6FAA">
        <w:rPr>
          <w:rFonts w:ascii="Times New Roman" w:hAnsi="Times New Roman" w:cs="Times New Roman"/>
          <w:sz w:val="20"/>
        </w:rPr>
        <w:t xml:space="preserve"> </w:t>
      </w:r>
      <w:r w:rsidRPr="00732156">
        <w:rPr>
          <w:rFonts w:ascii="Times New Roman" w:hAnsi="Times New Roman" w:cs="Times New Roman"/>
          <w:sz w:val="20"/>
        </w:rPr>
        <w:t>European Environmental Agency.</w:t>
      </w:r>
    </w:p>
    <w:p w14:paraId="74EE2454" w14:textId="77777777" w:rsidR="008A32B1" w:rsidRPr="003F6FAA" w:rsidRDefault="008A32B1" w:rsidP="00A93610">
      <w:pPr>
        <w:pStyle w:val="a8"/>
        <w:spacing w:line="240" w:lineRule="auto"/>
        <w:ind w:firstLineChars="50" w:firstLine="88"/>
        <w:rPr>
          <w:rFonts w:ascii="Times New Roman" w:hAnsi="Times New Roman" w:cs="Times New Roman"/>
          <w:sz w:val="20"/>
        </w:rPr>
      </w:pPr>
      <w:r w:rsidRPr="00732156">
        <w:rPr>
          <w:rFonts w:ascii="Times New Roman" w:hAnsi="Times New Roman" w:cs="Times New Roman"/>
          <w:b/>
          <w:sz w:val="20"/>
        </w:rPr>
        <w:t>URL</w:t>
      </w:r>
      <w:r w:rsidRPr="00732156">
        <w:rPr>
          <w:rFonts w:ascii="Times New Roman" w:hAnsi="Times New Roman" w:cs="Times New Roman"/>
          <w:sz w:val="20"/>
        </w:rPr>
        <w:t xml:space="preserve">: </w:t>
      </w:r>
      <w:hyperlink r:id="rId1" w:history="1">
        <w:r w:rsidRPr="00732156">
          <w:rPr>
            <w:rStyle w:val="a6"/>
            <w:rFonts w:ascii="Times New Roman" w:hAnsi="Times New Roman" w:cs="Times New Roman"/>
            <w:sz w:val="20"/>
          </w:rPr>
          <w:t>https://www.eea.europa.eu/data-and-maps/data/data-viewers/greenhouse-gases-viewer</w:t>
        </w:r>
      </w:hyperlink>
    </w:p>
  </w:footnote>
  <w:footnote w:id="3">
    <w:p w14:paraId="6EF4A5D8" w14:textId="77777777" w:rsidR="008A32B1" w:rsidRPr="00732156" w:rsidRDefault="008A32B1" w:rsidP="00317C34">
      <w:pPr>
        <w:pStyle w:val="a8"/>
        <w:spacing w:line="240" w:lineRule="auto"/>
        <w:rPr>
          <w:rFonts w:ascii="Times New Roman" w:hAnsi="Times New Roman" w:cs="Times New Roman"/>
          <w:sz w:val="20"/>
        </w:rPr>
      </w:pPr>
      <w:r w:rsidRPr="003F6FAA">
        <w:rPr>
          <w:rStyle w:val="a9"/>
          <w:rFonts w:ascii="Times New Roman" w:hAnsi="Times New Roman" w:cs="Times New Roman"/>
          <w:sz w:val="20"/>
        </w:rPr>
        <w:footnoteRef/>
      </w:r>
      <w:r w:rsidRPr="003F6FAA">
        <w:rPr>
          <w:rFonts w:ascii="Times New Roman" w:hAnsi="Times New Roman" w:cs="Times New Roman"/>
          <w:sz w:val="20"/>
        </w:rPr>
        <w:t xml:space="preserve"> </w:t>
      </w:r>
      <w:r w:rsidRPr="00732156">
        <w:rPr>
          <w:rFonts w:ascii="Times New Roman" w:hAnsi="Times New Roman" w:cs="Times New Roman"/>
          <w:sz w:val="20"/>
        </w:rPr>
        <w:t xml:space="preserve">World Developmental Indicators. </w:t>
      </w:r>
    </w:p>
    <w:p w14:paraId="3A8B4F13" w14:textId="77777777" w:rsidR="008A32B1" w:rsidRPr="00F62CF0" w:rsidRDefault="008A32B1" w:rsidP="00A93610">
      <w:pPr>
        <w:pStyle w:val="a8"/>
        <w:spacing w:line="240" w:lineRule="auto"/>
        <w:ind w:firstLineChars="50" w:firstLine="88"/>
        <w:rPr>
          <w:rFonts w:ascii="Times New Roman" w:hAnsi="Times New Roman" w:cs="Times New Roman"/>
          <w:sz w:val="20"/>
        </w:rPr>
      </w:pPr>
      <w:r w:rsidRPr="00732156">
        <w:rPr>
          <w:rFonts w:ascii="Times New Roman" w:hAnsi="Times New Roman" w:cs="Times New Roman"/>
          <w:b/>
          <w:sz w:val="20"/>
        </w:rPr>
        <w:t>URL</w:t>
      </w:r>
      <w:r w:rsidRPr="00732156">
        <w:rPr>
          <w:rFonts w:ascii="Times New Roman" w:hAnsi="Times New Roman" w:cs="Times New Roman"/>
          <w:sz w:val="20"/>
        </w:rPr>
        <w:t xml:space="preserve">: </w:t>
      </w:r>
      <w:hyperlink r:id="rId2" w:history="1">
        <w:r w:rsidRPr="00732156">
          <w:rPr>
            <w:rStyle w:val="a6"/>
            <w:rFonts w:ascii="Times New Roman" w:hAnsi="Times New Roman" w:cs="Times New Roman"/>
            <w:sz w:val="20"/>
          </w:rPr>
          <w:t>http://databank.worldbank.org/data/source/world-development-indicators#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FA6B1" w14:textId="77777777" w:rsidR="008A32B1" w:rsidRDefault="008A32B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E060A" w14:textId="77777777" w:rsidR="008A32B1" w:rsidRPr="00732156" w:rsidRDefault="008A32B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A890" w14:textId="77777777" w:rsidR="008A32B1" w:rsidRPr="00732156" w:rsidRDefault="008A32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E0626"/>
    <w:multiLevelType w:val="hybridMultilevel"/>
    <w:tmpl w:val="4A283620"/>
    <w:lvl w:ilvl="0" w:tplc="CECAB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KoPub바탕체 Light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pptsp2wfex222ete5t5s09xaex5td9ep9vt&quot;&gt;decoupling&lt;record-ids&gt;&lt;item&gt;2&lt;/item&gt;&lt;item&gt;3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/record-ids&gt;&lt;/item&gt;&lt;/Libraries&gt;"/>
    <w:docVar w:name="is_review_method" w:val="Full review"/>
  </w:docVars>
  <w:rsids>
    <w:rsidRoot w:val="00277383"/>
    <w:rsid w:val="00006215"/>
    <w:rsid w:val="00006E39"/>
    <w:rsid w:val="0002025C"/>
    <w:rsid w:val="00021E25"/>
    <w:rsid w:val="00027248"/>
    <w:rsid w:val="000330E1"/>
    <w:rsid w:val="00040A95"/>
    <w:rsid w:val="0004124B"/>
    <w:rsid w:val="000429AE"/>
    <w:rsid w:val="00054748"/>
    <w:rsid w:val="00062A16"/>
    <w:rsid w:val="0006550E"/>
    <w:rsid w:val="00066456"/>
    <w:rsid w:val="0007602F"/>
    <w:rsid w:val="000A5361"/>
    <w:rsid w:val="000A74F9"/>
    <w:rsid w:val="000B17C5"/>
    <w:rsid w:val="000B7A3D"/>
    <w:rsid w:val="000D7620"/>
    <w:rsid w:val="000E4754"/>
    <w:rsid w:val="000E77A8"/>
    <w:rsid w:val="000F1230"/>
    <w:rsid w:val="000F1824"/>
    <w:rsid w:val="00102A82"/>
    <w:rsid w:val="00103AAE"/>
    <w:rsid w:val="001052A8"/>
    <w:rsid w:val="00124DA9"/>
    <w:rsid w:val="00127C27"/>
    <w:rsid w:val="00130718"/>
    <w:rsid w:val="00151D23"/>
    <w:rsid w:val="001537F1"/>
    <w:rsid w:val="00153F0E"/>
    <w:rsid w:val="001627BA"/>
    <w:rsid w:val="00165DD1"/>
    <w:rsid w:val="00171A18"/>
    <w:rsid w:val="00171C0C"/>
    <w:rsid w:val="00176E65"/>
    <w:rsid w:val="00180B1F"/>
    <w:rsid w:val="0018607C"/>
    <w:rsid w:val="00186708"/>
    <w:rsid w:val="0018673D"/>
    <w:rsid w:val="00194667"/>
    <w:rsid w:val="00194E3E"/>
    <w:rsid w:val="00195082"/>
    <w:rsid w:val="00195B3A"/>
    <w:rsid w:val="00197D37"/>
    <w:rsid w:val="001A03F2"/>
    <w:rsid w:val="001B63B3"/>
    <w:rsid w:val="001C0E21"/>
    <w:rsid w:val="001D26AE"/>
    <w:rsid w:val="001D36D0"/>
    <w:rsid w:val="001D3AA5"/>
    <w:rsid w:val="001D475C"/>
    <w:rsid w:val="001D70D7"/>
    <w:rsid w:val="001E3DF5"/>
    <w:rsid w:val="001E485E"/>
    <w:rsid w:val="001F38A4"/>
    <w:rsid w:val="001F51A2"/>
    <w:rsid w:val="001F7EE0"/>
    <w:rsid w:val="00201C60"/>
    <w:rsid w:val="00204041"/>
    <w:rsid w:val="002043D1"/>
    <w:rsid w:val="00205448"/>
    <w:rsid w:val="002074D4"/>
    <w:rsid w:val="00214086"/>
    <w:rsid w:val="00217222"/>
    <w:rsid w:val="00217351"/>
    <w:rsid w:val="002236C8"/>
    <w:rsid w:val="002268E8"/>
    <w:rsid w:val="00242623"/>
    <w:rsid w:val="00246D24"/>
    <w:rsid w:val="00247671"/>
    <w:rsid w:val="00247686"/>
    <w:rsid w:val="00253A01"/>
    <w:rsid w:val="002546A0"/>
    <w:rsid w:val="0025675B"/>
    <w:rsid w:val="00263301"/>
    <w:rsid w:val="00265E6D"/>
    <w:rsid w:val="00267405"/>
    <w:rsid w:val="00271D02"/>
    <w:rsid w:val="00277383"/>
    <w:rsid w:val="00277971"/>
    <w:rsid w:val="00280863"/>
    <w:rsid w:val="00284295"/>
    <w:rsid w:val="00284D39"/>
    <w:rsid w:val="002907B9"/>
    <w:rsid w:val="002948E7"/>
    <w:rsid w:val="00296AC1"/>
    <w:rsid w:val="002A3D4C"/>
    <w:rsid w:val="002B2DD1"/>
    <w:rsid w:val="002B430D"/>
    <w:rsid w:val="002B66BE"/>
    <w:rsid w:val="002B6F63"/>
    <w:rsid w:val="002C2EEC"/>
    <w:rsid w:val="002D0EC8"/>
    <w:rsid w:val="002D3D8A"/>
    <w:rsid w:val="002D52F6"/>
    <w:rsid w:val="002F0708"/>
    <w:rsid w:val="002F0AE9"/>
    <w:rsid w:val="002F0E6A"/>
    <w:rsid w:val="002F63F4"/>
    <w:rsid w:val="002F7C76"/>
    <w:rsid w:val="00303073"/>
    <w:rsid w:val="00310C2B"/>
    <w:rsid w:val="00315EFC"/>
    <w:rsid w:val="00317C34"/>
    <w:rsid w:val="00322CEE"/>
    <w:rsid w:val="00322F08"/>
    <w:rsid w:val="00323681"/>
    <w:rsid w:val="00327E4A"/>
    <w:rsid w:val="00330086"/>
    <w:rsid w:val="00344AF5"/>
    <w:rsid w:val="00345A83"/>
    <w:rsid w:val="0035246A"/>
    <w:rsid w:val="003603E8"/>
    <w:rsid w:val="00364F07"/>
    <w:rsid w:val="00365FCD"/>
    <w:rsid w:val="003714A7"/>
    <w:rsid w:val="003836F3"/>
    <w:rsid w:val="00386422"/>
    <w:rsid w:val="00391884"/>
    <w:rsid w:val="00391DB6"/>
    <w:rsid w:val="00396235"/>
    <w:rsid w:val="00396957"/>
    <w:rsid w:val="003A13FC"/>
    <w:rsid w:val="003A1887"/>
    <w:rsid w:val="003A3CDB"/>
    <w:rsid w:val="003A5496"/>
    <w:rsid w:val="003A65E9"/>
    <w:rsid w:val="003A7DA6"/>
    <w:rsid w:val="003B0151"/>
    <w:rsid w:val="003B7A4F"/>
    <w:rsid w:val="003C44E0"/>
    <w:rsid w:val="003E1DA7"/>
    <w:rsid w:val="003E4431"/>
    <w:rsid w:val="003E7CCD"/>
    <w:rsid w:val="003F1509"/>
    <w:rsid w:val="003F3D9B"/>
    <w:rsid w:val="003F6FAA"/>
    <w:rsid w:val="003F772C"/>
    <w:rsid w:val="00402C85"/>
    <w:rsid w:val="004034B1"/>
    <w:rsid w:val="00410539"/>
    <w:rsid w:val="00412CAA"/>
    <w:rsid w:val="0041582F"/>
    <w:rsid w:val="00415E9F"/>
    <w:rsid w:val="004224AB"/>
    <w:rsid w:val="004260CF"/>
    <w:rsid w:val="00434131"/>
    <w:rsid w:val="00443CBA"/>
    <w:rsid w:val="00451DC0"/>
    <w:rsid w:val="004660EB"/>
    <w:rsid w:val="0048131B"/>
    <w:rsid w:val="00483408"/>
    <w:rsid w:val="00496750"/>
    <w:rsid w:val="00496C83"/>
    <w:rsid w:val="004A06AE"/>
    <w:rsid w:val="004A35BA"/>
    <w:rsid w:val="004A7C51"/>
    <w:rsid w:val="004B001A"/>
    <w:rsid w:val="004B15A4"/>
    <w:rsid w:val="004B5AE1"/>
    <w:rsid w:val="004C0212"/>
    <w:rsid w:val="004C7AAB"/>
    <w:rsid w:val="004D1F75"/>
    <w:rsid w:val="004D7844"/>
    <w:rsid w:val="004E63BD"/>
    <w:rsid w:val="004E7AE4"/>
    <w:rsid w:val="004E7C33"/>
    <w:rsid w:val="004F750B"/>
    <w:rsid w:val="00501507"/>
    <w:rsid w:val="0050169E"/>
    <w:rsid w:val="00507F02"/>
    <w:rsid w:val="005303BD"/>
    <w:rsid w:val="00532595"/>
    <w:rsid w:val="00537D8B"/>
    <w:rsid w:val="00544319"/>
    <w:rsid w:val="00544EA1"/>
    <w:rsid w:val="00545426"/>
    <w:rsid w:val="00560058"/>
    <w:rsid w:val="00567EBB"/>
    <w:rsid w:val="0057148D"/>
    <w:rsid w:val="00577087"/>
    <w:rsid w:val="0057793A"/>
    <w:rsid w:val="00586395"/>
    <w:rsid w:val="00590750"/>
    <w:rsid w:val="00590F51"/>
    <w:rsid w:val="005B6C08"/>
    <w:rsid w:val="005C1618"/>
    <w:rsid w:val="005C2BBC"/>
    <w:rsid w:val="005C405F"/>
    <w:rsid w:val="005C4246"/>
    <w:rsid w:val="005D0F52"/>
    <w:rsid w:val="005D30AC"/>
    <w:rsid w:val="005D5B56"/>
    <w:rsid w:val="005D69F7"/>
    <w:rsid w:val="005E3374"/>
    <w:rsid w:val="005F6091"/>
    <w:rsid w:val="006018B8"/>
    <w:rsid w:val="00605AF1"/>
    <w:rsid w:val="00614FF5"/>
    <w:rsid w:val="006166C6"/>
    <w:rsid w:val="006204D7"/>
    <w:rsid w:val="0062053B"/>
    <w:rsid w:val="00643E34"/>
    <w:rsid w:val="00644CD1"/>
    <w:rsid w:val="00652EEF"/>
    <w:rsid w:val="00652F0A"/>
    <w:rsid w:val="00657634"/>
    <w:rsid w:val="00660A33"/>
    <w:rsid w:val="00671F15"/>
    <w:rsid w:val="006724D2"/>
    <w:rsid w:val="00672FBC"/>
    <w:rsid w:val="006751E0"/>
    <w:rsid w:val="0068409C"/>
    <w:rsid w:val="006847A7"/>
    <w:rsid w:val="006876BC"/>
    <w:rsid w:val="0069123A"/>
    <w:rsid w:val="00692959"/>
    <w:rsid w:val="00694771"/>
    <w:rsid w:val="00694904"/>
    <w:rsid w:val="006A074D"/>
    <w:rsid w:val="006A31DD"/>
    <w:rsid w:val="006A4C9F"/>
    <w:rsid w:val="006B0883"/>
    <w:rsid w:val="006B2778"/>
    <w:rsid w:val="006B51AB"/>
    <w:rsid w:val="006C15E3"/>
    <w:rsid w:val="006C2B9D"/>
    <w:rsid w:val="006C6345"/>
    <w:rsid w:val="006D085E"/>
    <w:rsid w:val="006D1323"/>
    <w:rsid w:val="006D1FB7"/>
    <w:rsid w:val="006D602D"/>
    <w:rsid w:val="006D675F"/>
    <w:rsid w:val="006D6A0B"/>
    <w:rsid w:val="006D7F3B"/>
    <w:rsid w:val="006F1398"/>
    <w:rsid w:val="006F300A"/>
    <w:rsid w:val="0070204C"/>
    <w:rsid w:val="00702AAB"/>
    <w:rsid w:val="00702E39"/>
    <w:rsid w:val="0070481C"/>
    <w:rsid w:val="00706230"/>
    <w:rsid w:val="0071122C"/>
    <w:rsid w:val="0071212F"/>
    <w:rsid w:val="007208C6"/>
    <w:rsid w:val="007213C9"/>
    <w:rsid w:val="00722598"/>
    <w:rsid w:val="00722B31"/>
    <w:rsid w:val="0072683A"/>
    <w:rsid w:val="00731BE5"/>
    <w:rsid w:val="00732156"/>
    <w:rsid w:val="00736669"/>
    <w:rsid w:val="00740B86"/>
    <w:rsid w:val="00760601"/>
    <w:rsid w:val="007608F7"/>
    <w:rsid w:val="00760A63"/>
    <w:rsid w:val="007625A7"/>
    <w:rsid w:val="0076282A"/>
    <w:rsid w:val="00772FA3"/>
    <w:rsid w:val="00774C27"/>
    <w:rsid w:val="00774F37"/>
    <w:rsid w:val="007763FB"/>
    <w:rsid w:val="00777136"/>
    <w:rsid w:val="00792720"/>
    <w:rsid w:val="007927BF"/>
    <w:rsid w:val="0079381B"/>
    <w:rsid w:val="00796770"/>
    <w:rsid w:val="00796AD7"/>
    <w:rsid w:val="007A5D9F"/>
    <w:rsid w:val="007B01D6"/>
    <w:rsid w:val="007B0F62"/>
    <w:rsid w:val="007B5571"/>
    <w:rsid w:val="007B760D"/>
    <w:rsid w:val="007C432A"/>
    <w:rsid w:val="007C442A"/>
    <w:rsid w:val="007C59A3"/>
    <w:rsid w:val="007D3ACB"/>
    <w:rsid w:val="007D3DF1"/>
    <w:rsid w:val="007D4E6A"/>
    <w:rsid w:val="007D6808"/>
    <w:rsid w:val="007E2D74"/>
    <w:rsid w:val="007E4909"/>
    <w:rsid w:val="007E56D2"/>
    <w:rsid w:val="007E6C11"/>
    <w:rsid w:val="007F344F"/>
    <w:rsid w:val="00801003"/>
    <w:rsid w:val="00802A83"/>
    <w:rsid w:val="00813F72"/>
    <w:rsid w:val="008210B2"/>
    <w:rsid w:val="008228B9"/>
    <w:rsid w:val="00834D22"/>
    <w:rsid w:val="00834D8A"/>
    <w:rsid w:val="00835468"/>
    <w:rsid w:val="0083576B"/>
    <w:rsid w:val="0084141F"/>
    <w:rsid w:val="00842B84"/>
    <w:rsid w:val="00842CA9"/>
    <w:rsid w:val="00843644"/>
    <w:rsid w:val="00851895"/>
    <w:rsid w:val="008607C8"/>
    <w:rsid w:val="00861F37"/>
    <w:rsid w:val="008668BF"/>
    <w:rsid w:val="00874387"/>
    <w:rsid w:val="008802D8"/>
    <w:rsid w:val="00882BEA"/>
    <w:rsid w:val="008842E5"/>
    <w:rsid w:val="0089202D"/>
    <w:rsid w:val="00893E33"/>
    <w:rsid w:val="00897B81"/>
    <w:rsid w:val="008A2618"/>
    <w:rsid w:val="008A32B1"/>
    <w:rsid w:val="008A578F"/>
    <w:rsid w:val="008A7AD2"/>
    <w:rsid w:val="008B1017"/>
    <w:rsid w:val="008B2338"/>
    <w:rsid w:val="008B23A3"/>
    <w:rsid w:val="008B5FE7"/>
    <w:rsid w:val="008C01A4"/>
    <w:rsid w:val="008C7FF4"/>
    <w:rsid w:val="008D11FA"/>
    <w:rsid w:val="008D3F02"/>
    <w:rsid w:val="008D5E62"/>
    <w:rsid w:val="008E2749"/>
    <w:rsid w:val="008E3D51"/>
    <w:rsid w:val="008E603E"/>
    <w:rsid w:val="008E717C"/>
    <w:rsid w:val="008F0870"/>
    <w:rsid w:val="008F754E"/>
    <w:rsid w:val="00900E78"/>
    <w:rsid w:val="009148EE"/>
    <w:rsid w:val="00917A32"/>
    <w:rsid w:val="009210C2"/>
    <w:rsid w:val="00922FA5"/>
    <w:rsid w:val="00930052"/>
    <w:rsid w:val="00931F73"/>
    <w:rsid w:val="00937754"/>
    <w:rsid w:val="009419C4"/>
    <w:rsid w:val="00941DBA"/>
    <w:rsid w:val="009457DC"/>
    <w:rsid w:val="00950CCE"/>
    <w:rsid w:val="009520A1"/>
    <w:rsid w:val="00953ADC"/>
    <w:rsid w:val="009551CB"/>
    <w:rsid w:val="00955411"/>
    <w:rsid w:val="00972985"/>
    <w:rsid w:val="00977917"/>
    <w:rsid w:val="009828F1"/>
    <w:rsid w:val="00984C37"/>
    <w:rsid w:val="0099223F"/>
    <w:rsid w:val="00996BA7"/>
    <w:rsid w:val="00996EFC"/>
    <w:rsid w:val="009B61B5"/>
    <w:rsid w:val="009C2932"/>
    <w:rsid w:val="009C65DC"/>
    <w:rsid w:val="009C73CF"/>
    <w:rsid w:val="009C7F97"/>
    <w:rsid w:val="009D37F7"/>
    <w:rsid w:val="009E1775"/>
    <w:rsid w:val="009F597A"/>
    <w:rsid w:val="009F76D2"/>
    <w:rsid w:val="00A00C28"/>
    <w:rsid w:val="00A0150C"/>
    <w:rsid w:val="00A03137"/>
    <w:rsid w:val="00A117F8"/>
    <w:rsid w:val="00A1352C"/>
    <w:rsid w:val="00A135BE"/>
    <w:rsid w:val="00A14992"/>
    <w:rsid w:val="00A23B6E"/>
    <w:rsid w:val="00A26871"/>
    <w:rsid w:val="00A35212"/>
    <w:rsid w:val="00A35AFA"/>
    <w:rsid w:val="00A36B70"/>
    <w:rsid w:val="00A37A32"/>
    <w:rsid w:val="00A46A00"/>
    <w:rsid w:val="00A46DD0"/>
    <w:rsid w:val="00A522B2"/>
    <w:rsid w:val="00A55EC0"/>
    <w:rsid w:val="00A61C7A"/>
    <w:rsid w:val="00A65824"/>
    <w:rsid w:val="00A81D31"/>
    <w:rsid w:val="00A83B8F"/>
    <w:rsid w:val="00A93610"/>
    <w:rsid w:val="00A95F0A"/>
    <w:rsid w:val="00AA0B40"/>
    <w:rsid w:val="00AA17A6"/>
    <w:rsid w:val="00AA22A0"/>
    <w:rsid w:val="00AA25B9"/>
    <w:rsid w:val="00AA2F9D"/>
    <w:rsid w:val="00AA34E5"/>
    <w:rsid w:val="00AA6CAE"/>
    <w:rsid w:val="00AA7586"/>
    <w:rsid w:val="00AB5845"/>
    <w:rsid w:val="00AB5F90"/>
    <w:rsid w:val="00AB601B"/>
    <w:rsid w:val="00AC0C47"/>
    <w:rsid w:val="00AD1AF9"/>
    <w:rsid w:val="00AD4AB9"/>
    <w:rsid w:val="00AD62BB"/>
    <w:rsid w:val="00AD6E33"/>
    <w:rsid w:val="00AD7DB3"/>
    <w:rsid w:val="00AE2D19"/>
    <w:rsid w:val="00AE330F"/>
    <w:rsid w:val="00AF2655"/>
    <w:rsid w:val="00AF34FD"/>
    <w:rsid w:val="00B03885"/>
    <w:rsid w:val="00B14138"/>
    <w:rsid w:val="00B1594A"/>
    <w:rsid w:val="00B16F6A"/>
    <w:rsid w:val="00B17652"/>
    <w:rsid w:val="00B23AC3"/>
    <w:rsid w:val="00B26BBB"/>
    <w:rsid w:val="00B3063F"/>
    <w:rsid w:val="00B5593A"/>
    <w:rsid w:val="00B60CEA"/>
    <w:rsid w:val="00B6449F"/>
    <w:rsid w:val="00B6602E"/>
    <w:rsid w:val="00B76BB3"/>
    <w:rsid w:val="00B83863"/>
    <w:rsid w:val="00B93670"/>
    <w:rsid w:val="00B97547"/>
    <w:rsid w:val="00BA3A2C"/>
    <w:rsid w:val="00BA721A"/>
    <w:rsid w:val="00BB4DEF"/>
    <w:rsid w:val="00BB6069"/>
    <w:rsid w:val="00BD1D1D"/>
    <w:rsid w:val="00BD223E"/>
    <w:rsid w:val="00BD2D53"/>
    <w:rsid w:val="00BE346E"/>
    <w:rsid w:val="00BE4B50"/>
    <w:rsid w:val="00BF3A1F"/>
    <w:rsid w:val="00BF4363"/>
    <w:rsid w:val="00BF554B"/>
    <w:rsid w:val="00C05593"/>
    <w:rsid w:val="00C0794A"/>
    <w:rsid w:val="00C10E4C"/>
    <w:rsid w:val="00C201EA"/>
    <w:rsid w:val="00C231E1"/>
    <w:rsid w:val="00C32A6C"/>
    <w:rsid w:val="00C34608"/>
    <w:rsid w:val="00C4246A"/>
    <w:rsid w:val="00C425C1"/>
    <w:rsid w:val="00C45770"/>
    <w:rsid w:val="00C45B27"/>
    <w:rsid w:val="00C51A4B"/>
    <w:rsid w:val="00C51CD5"/>
    <w:rsid w:val="00C53401"/>
    <w:rsid w:val="00C55BD2"/>
    <w:rsid w:val="00C55C3B"/>
    <w:rsid w:val="00C560E4"/>
    <w:rsid w:val="00C5618D"/>
    <w:rsid w:val="00C568D4"/>
    <w:rsid w:val="00C65CA0"/>
    <w:rsid w:val="00C735AA"/>
    <w:rsid w:val="00C940E9"/>
    <w:rsid w:val="00CA109A"/>
    <w:rsid w:val="00CA4B9B"/>
    <w:rsid w:val="00CA5520"/>
    <w:rsid w:val="00CC2722"/>
    <w:rsid w:val="00CC3117"/>
    <w:rsid w:val="00CC67CC"/>
    <w:rsid w:val="00CD05A2"/>
    <w:rsid w:val="00CD1A61"/>
    <w:rsid w:val="00CF1B22"/>
    <w:rsid w:val="00D025BC"/>
    <w:rsid w:val="00D077CF"/>
    <w:rsid w:val="00D15A9B"/>
    <w:rsid w:val="00D17CE8"/>
    <w:rsid w:val="00D20EA8"/>
    <w:rsid w:val="00D2367C"/>
    <w:rsid w:val="00D25D4E"/>
    <w:rsid w:val="00D337B7"/>
    <w:rsid w:val="00D35516"/>
    <w:rsid w:val="00D56C04"/>
    <w:rsid w:val="00D64E7B"/>
    <w:rsid w:val="00D75280"/>
    <w:rsid w:val="00D7563D"/>
    <w:rsid w:val="00D769B3"/>
    <w:rsid w:val="00D856A4"/>
    <w:rsid w:val="00D95E7E"/>
    <w:rsid w:val="00DA2C98"/>
    <w:rsid w:val="00DA7CFB"/>
    <w:rsid w:val="00DB270C"/>
    <w:rsid w:val="00DB35E1"/>
    <w:rsid w:val="00DB6806"/>
    <w:rsid w:val="00DC40AE"/>
    <w:rsid w:val="00DC4100"/>
    <w:rsid w:val="00DD1389"/>
    <w:rsid w:val="00DD670B"/>
    <w:rsid w:val="00DE08D6"/>
    <w:rsid w:val="00DE2410"/>
    <w:rsid w:val="00DE28A2"/>
    <w:rsid w:val="00DF63AF"/>
    <w:rsid w:val="00E04244"/>
    <w:rsid w:val="00E05EB7"/>
    <w:rsid w:val="00E0668F"/>
    <w:rsid w:val="00E07BBE"/>
    <w:rsid w:val="00E130D4"/>
    <w:rsid w:val="00E1468F"/>
    <w:rsid w:val="00E20119"/>
    <w:rsid w:val="00E23772"/>
    <w:rsid w:val="00E272C2"/>
    <w:rsid w:val="00E40D2C"/>
    <w:rsid w:val="00E46041"/>
    <w:rsid w:val="00E53AE0"/>
    <w:rsid w:val="00E544DD"/>
    <w:rsid w:val="00E544F0"/>
    <w:rsid w:val="00E62BA8"/>
    <w:rsid w:val="00E67E56"/>
    <w:rsid w:val="00E70A54"/>
    <w:rsid w:val="00E70FA2"/>
    <w:rsid w:val="00E71013"/>
    <w:rsid w:val="00E72706"/>
    <w:rsid w:val="00E740BA"/>
    <w:rsid w:val="00E779E7"/>
    <w:rsid w:val="00E83C21"/>
    <w:rsid w:val="00E9275A"/>
    <w:rsid w:val="00E93D0A"/>
    <w:rsid w:val="00E97DC5"/>
    <w:rsid w:val="00EA2202"/>
    <w:rsid w:val="00EA4822"/>
    <w:rsid w:val="00EA54A3"/>
    <w:rsid w:val="00EA718F"/>
    <w:rsid w:val="00EB09FE"/>
    <w:rsid w:val="00EB1EBE"/>
    <w:rsid w:val="00EB2003"/>
    <w:rsid w:val="00EB2410"/>
    <w:rsid w:val="00EB6307"/>
    <w:rsid w:val="00EC1A8E"/>
    <w:rsid w:val="00EC2BD0"/>
    <w:rsid w:val="00EC5E91"/>
    <w:rsid w:val="00EC70D4"/>
    <w:rsid w:val="00ED04B6"/>
    <w:rsid w:val="00ED0EC8"/>
    <w:rsid w:val="00ED2EF4"/>
    <w:rsid w:val="00ED7B8F"/>
    <w:rsid w:val="00EE11A5"/>
    <w:rsid w:val="00EE6129"/>
    <w:rsid w:val="00EF1F78"/>
    <w:rsid w:val="00EF56B7"/>
    <w:rsid w:val="00EF6469"/>
    <w:rsid w:val="00EF7ED3"/>
    <w:rsid w:val="00F04B94"/>
    <w:rsid w:val="00F054DC"/>
    <w:rsid w:val="00F12D8E"/>
    <w:rsid w:val="00F17871"/>
    <w:rsid w:val="00F233FD"/>
    <w:rsid w:val="00F3625A"/>
    <w:rsid w:val="00F455C6"/>
    <w:rsid w:val="00F53285"/>
    <w:rsid w:val="00F538B1"/>
    <w:rsid w:val="00F57D39"/>
    <w:rsid w:val="00F62CF0"/>
    <w:rsid w:val="00F64433"/>
    <w:rsid w:val="00F6539D"/>
    <w:rsid w:val="00F67612"/>
    <w:rsid w:val="00F71706"/>
    <w:rsid w:val="00F71A84"/>
    <w:rsid w:val="00F73F73"/>
    <w:rsid w:val="00F7481A"/>
    <w:rsid w:val="00F839B7"/>
    <w:rsid w:val="00F90820"/>
    <w:rsid w:val="00F926A7"/>
    <w:rsid w:val="00F97291"/>
    <w:rsid w:val="00FA3C80"/>
    <w:rsid w:val="00FA41F1"/>
    <w:rsid w:val="00FA4794"/>
    <w:rsid w:val="00FB168B"/>
    <w:rsid w:val="00FB1C66"/>
    <w:rsid w:val="00FB5514"/>
    <w:rsid w:val="00FC4A42"/>
    <w:rsid w:val="00FC4BB5"/>
    <w:rsid w:val="00FC6204"/>
    <w:rsid w:val="00FD14D5"/>
    <w:rsid w:val="00FD164E"/>
    <w:rsid w:val="00FD2C37"/>
    <w:rsid w:val="00FD33E8"/>
    <w:rsid w:val="00FD6FA8"/>
    <w:rsid w:val="00FD7221"/>
    <w:rsid w:val="00FE1ACB"/>
    <w:rsid w:val="00FE2A4F"/>
    <w:rsid w:val="00FE40CF"/>
    <w:rsid w:val="00FE6C55"/>
    <w:rsid w:val="00FE7AF6"/>
    <w:rsid w:val="00FF2135"/>
    <w:rsid w:val="00FF45C6"/>
    <w:rsid w:val="00FF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123A"/>
  <w15:docId w15:val="{E0AC2562-354A-43CD-97B9-2178488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4E5"/>
    <w:pPr>
      <w:spacing w:before="120"/>
    </w:pPr>
    <w:rPr>
      <w:rFonts w:ascii="KoPub바탕체 Light" w:eastAsia="KoPub바탕체 Light" w:hAnsi="KoPub바탕체 Light" w:cs="KoPub바탕체 Light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1895"/>
    <w:pPr>
      <w:spacing w:after="0" w:line="240" w:lineRule="auto"/>
      <w:jc w:val="left"/>
    </w:pPr>
    <w:rPr>
      <w:rFonts w:ascii="KoPub바탕체 Light" w:eastAsia="KoPub바탕체 Light" w:hAnsi="KoPub바탕체 Light" w:cs="KoPub바탕체 Light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2F0E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0E6A"/>
    <w:rPr>
      <w:rFonts w:ascii="KoPub바탕체 Light" w:eastAsia="KoPub바탕체 Light" w:hAnsi="KoPub바탕체 Light" w:cs="KoPub바탕체 Light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2F0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0E6A"/>
    <w:rPr>
      <w:rFonts w:ascii="KoPub바탕체 Light" w:eastAsia="KoPub바탕체 Light" w:hAnsi="KoPub바탕체 Light" w:cs="KoPub바탕체 Light"/>
      <w:kern w:val="0"/>
      <w:sz w:val="22"/>
    </w:rPr>
  </w:style>
  <w:style w:type="paragraph" w:customStyle="1" w:styleId="EndNoteBibliographyTitle">
    <w:name w:val="EndNote Bibliography Title"/>
    <w:basedOn w:val="a"/>
    <w:link w:val="EndNoteBibliographyTitleChar"/>
    <w:rsid w:val="00D64E7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64E7B"/>
    <w:rPr>
      <w:rFonts w:ascii="KoPub바탕체 Light" w:eastAsia="KoPub바탕체 Light" w:hAnsi="KoPub바탕체 Light" w:cs="KoPub바탕체 Light"/>
      <w:noProof/>
      <w:kern w:val="0"/>
      <w:sz w:val="22"/>
    </w:rPr>
  </w:style>
  <w:style w:type="paragraph" w:customStyle="1" w:styleId="EndNoteBibliography">
    <w:name w:val="EndNote Bibliography"/>
    <w:basedOn w:val="a"/>
    <w:link w:val="EndNoteBibliographyChar"/>
    <w:rsid w:val="00D64E7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D64E7B"/>
    <w:rPr>
      <w:rFonts w:ascii="KoPub바탕체 Light" w:eastAsia="KoPub바탕체 Light" w:hAnsi="KoPub바탕체 Light" w:cs="KoPub바탕체 Light"/>
      <w:noProof/>
      <w:kern w:val="0"/>
      <w:sz w:val="22"/>
    </w:rPr>
  </w:style>
  <w:style w:type="character" w:styleId="a6">
    <w:name w:val="Hyperlink"/>
    <w:basedOn w:val="a0"/>
    <w:uiPriority w:val="99"/>
    <w:unhideWhenUsed/>
    <w:rsid w:val="00605AF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05AF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E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Char1"/>
    <w:uiPriority w:val="99"/>
    <w:semiHidden/>
    <w:unhideWhenUsed/>
    <w:rsid w:val="00FE7AF6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FE7AF6"/>
    <w:rPr>
      <w:rFonts w:ascii="KoPub바탕체 Light" w:eastAsia="KoPub바탕체 Light" w:hAnsi="KoPub바탕체 Light" w:cs="KoPub바탕체 Light"/>
      <w:kern w:val="0"/>
      <w:sz w:val="22"/>
    </w:rPr>
  </w:style>
  <w:style w:type="character" w:styleId="a9">
    <w:name w:val="footnote reference"/>
    <w:basedOn w:val="a0"/>
    <w:uiPriority w:val="99"/>
    <w:semiHidden/>
    <w:unhideWhenUsed/>
    <w:rsid w:val="00FE7AF6"/>
    <w:rPr>
      <w:vertAlign w:val="superscript"/>
    </w:rPr>
  </w:style>
  <w:style w:type="paragraph" w:customStyle="1" w:styleId="aa">
    <w:name w:val="바탕글"/>
    <w:basedOn w:val="a"/>
    <w:rsid w:val="00FE7AF6"/>
    <w:pPr>
      <w:widowControl w:val="0"/>
      <w:tabs>
        <w:tab w:val="left" w:pos="200"/>
      </w:tabs>
      <w:wordWrap w:val="0"/>
      <w:autoSpaceDE w:val="0"/>
      <w:autoSpaceDN w:val="0"/>
      <w:spacing w:before="0" w:after="0" w:line="432" w:lineRule="auto"/>
      <w:ind w:firstLine="220"/>
      <w:textAlignment w:val="baseline"/>
    </w:pPr>
    <w:rPr>
      <w:rFonts w:ascii="굴림" w:eastAsia="굴림" w:hAnsi="굴림" w:cs="굴림"/>
      <w:color w:val="000000"/>
      <w:spacing w:val="-10"/>
    </w:rPr>
  </w:style>
  <w:style w:type="paragraph" w:styleId="ab">
    <w:name w:val="Balloon Text"/>
    <w:basedOn w:val="a"/>
    <w:link w:val="Char2"/>
    <w:uiPriority w:val="99"/>
    <w:semiHidden/>
    <w:unhideWhenUsed/>
    <w:rsid w:val="00A93610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93610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36B70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A36B70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A36B70"/>
    <w:rPr>
      <w:rFonts w:ascii="KoPub바탕체 Light" w:eastAsia="KoPub바탕체 Light" w:hAnsi="KoPub바탕체 Light" w:cs="KoPub바탕체 Light"/>
      <w:kern w:val="0"/>
      <w:sz w:val="22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A36B70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A36B70"/>
    <w:rPr>
      <w:rFonts w:ascii="KoPub바탕체 Light" w:eastAsia="KoPub바탕체 Light" w:hAnsi="KoPub바탕체 Light" w:cs="KoPub바탕체 Light"/>
      <w:b/>
      <w:bCs/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1D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475C"/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gnkrckgcgsb">
    <w:name w:val="gnkrckgcgsb"/>
    <w:basedOn w:val="a0"/>
    <w:rsid w:val="001D475C"/>
  </w:style>
  <w:style w:type="character" w:customStyle="1" w:styleId="hlfld-title">
    <w:name w:val="hlfld-title"/>
    <w:basedOn w:val="a0"/>
    <w:rsid w:val="00955411"/>
  </w:style>
  <w:style w:type="character" w:customStyle="1" w:styleId="articleentryauthorslinks">
    <w:name w:val="articleentryauthorslinks"/>
    <w:basedOn w:val="a0"/>
    <w:rsid w:val="00955411"/>
  </w:style>
  <w:style w:type="character" w:customStyle="1" w:styleId="issueinfo">
    <w:name w:val="issueinfo"/>
    <w:basedOn w:val="a0"/>
    <w:rsid w:val="00955411"/>
  </w:style>
  <w:style w:type="character" w:customStyle="1" w:styleId="articlepagerange">
    <w:name w:val="articlepagerange"/>
    <w:basedOn w:val="a0"/>
    <w:rsid w:val="00955411"/>
  </w:style>
  <w:style w:type="character" w:customStyle="1" w:styleId="issueinfocomma">
    <w:name w:val="issueinfocomma"/>
    <w:basedOn w:val="a0"/>
    <w:rsid w:val="00955411"/>
  </w:style>
  <w:style w:type="paragraph" w:styleId="af">
    <w:name w:val="List Paragraph"/>
    <w:basedOn w:val="a"/>
    <w:uiPriority w:val="34"/>
    <w:qFormat/>
    <w:rsid w:val="00A95F0A"/>
    <w:pPr>
      <w:ind w:left="720"/>
      <w:contextualSpacing/>
    </w:pPr>
  </w:style>
  <w:style w:type="paragraph" w:styleId="af0">
    <w:name w:val="Revision"/>
    <w:hidden/>
    <w:uiPriority w:val="99"/>
    <w:semiHidden/>
    <w:rsid w:val="00732156"/>
    <w:pPr>
      <w:spacing w:after="0" w:line="240" w:lineRule="auto"/>
      <w:jc w:val="left"/>
    </w:pPr>
    <w:rPr>
      <w:rFonts w:ascii="KoPub바탕체 Light" w:eastAsia="KoPub바탕체 Light" w:hAnsi="KoPub바탕체 Light" w:cs="KoPub바탕체 Light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atabank.worldbank.org/data/source/world-development-indicators" TargetMode="External"/><Relationship Id="rId1" Type="http://schemas.openxmlformats.org/officeDocument/2006/relationships/hyperlink" Target="https://www.eea.europa.eu/data-and-maps/data/data-viewers/greenhouse-gases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F8111064B6047A1C35E443738B667" ma:contentTypeVersion="13" ma:contentTypeDescription="Create a new document." ma:contentTypeScope="" ma:versionID="2fe307e17145e2a23867409da958995b">
  <xsd:schema xmlns:xsd="http://www.w3.org/2001/XMLSchema" xmlns:xs="http://www.w3.org/2001/XMLSchema" xmlns:p="http://schemas.microsoft.com/office/2006/metadata/properties" xmlns:ns3="45ef1124-edf1-4056-b1d5-9ce27998b12b" xmlns:ns4="c79c8daf-daed-4df4-9103-5186fb3e83a9" targetNamespace="http://schemas.microsoft.com/office/2006/metadata/properties" ma:root="true" ma:fieldsID="839bd83bf15cffab1f7afb879db22ee5" ns3:_="" ns4:_="">
    <xsd:import namespace="45ef1124-edf1-4056-b1d5-9ce27998b12b"/>
    <xsd:import namespace="c79c8daf-daed-4df4-9103-5186fb3e8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f1124-edf1-4056-b1d5-9ce27998b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c8daf-daed-4df4-9103-5186fb3e8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05FF-257D-4E60-93EC-C73C08DF8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E6532F-F162-46D4-A7A0-E1B36C1E6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f1124-edf1-4056-b1d5-9ce27998b12b"/>
    <ds:schemaRef ds:uri="c79c8daf-daed-4df4-9103-5186fb3e8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452B2-6C58-4648-A0B1-85A440C67B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1FA50C-B622-4CF7-826A-941D065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7076</Words>
  <Characters>40337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Inhwan Ko</dc:creator>
  <cp:lastModifiedBy>Inhwan Ko</cp:lastModifiedBy>
  <cp:revision>4</cp:revision>
  <dcterms:created xsi:type="dcterms:W3CDTF">2020-02-12T00:47:00Z</dcterms:created>
  <dcterms:modified xsi:type="dcterms:W3CDTF">2020-02-12T01:15:00Z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0x010100C4DF8111064B6047A1C35E443738B667</vt:lpwstr>
  </property>
</Properties>
</file>