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Segmentation clientele RFM</w:t>
      </w:r>
    </w:p>
    <w:p>
      <w:pPr>
        <w:jc w:val="center"/>
      </w:pPr>
      <w:r>
        <w:rPr>
          <w:i/>
        </w:rPr>
        <w:t>Projet de Machine Learning Commerce | Donnees de janvier 2024 a juin 2025</w:t>
      </w:r>
    </w:p>
    <w:p>
      <w:r>
        <w:t>Ce rapport segmente les clients ayant une carte de fidelite selon la recence, la frequence et le montant de leurs achats. Le modele K-means retient 2 groupes, car ce choix obtient le meilleur score de silhouette parmi les valeurs testees.</w:t>
      </w:r>
    </w:p>
    <w:p>
      <w:pPr>
        <w:pStyle w:val="Heading1"/>
      </w:pPr>
      <w:r>
        <w:t>1 Cadrage</w:t>
      </w:r>
    </w:p>
    <w:p>
      <w:r>
        <w:t>Il s agit d un probleme d apprentissage non supervise : aucune variable cible n est disponible. L objectif est de regrouper des clients aux comportements d achat proches afin d adapter les actions marketing.</w:t>
      </w:r>
    </w:p>
    <w:p>
      <w:pPr>
        <w:pStyle w:val="Heading1"/>
      </w:pPr>
      <w:r>
        <w:t>2 Preparation des donnees</w:t>
      </w:r>
    </w:p>
    <w:tbl>
      <w:tblPr>
        <w:tblStyle w:val="TableGrid"/>
        <w:tblW w:type="auto" w:w="0"/>
        <w:tblLook w:firstColumn="1" w:firstRow="1" w:lastColumn="0" w:lastRow="0" w:noHBand="0" w:noVBand="1" w:val="04A0"/>
      </w:tblPr>
      <w:tblGrid>
        <w:gridCol w:w="4929"/>
        <w:gridCol w:w="4929"/>
      </w:tblGrid>
      <w:tr>
        <w:tc>
          <w:tcPr>
            <w:tcW w:type="dxa" w:w="5102"/>
            <w:shd w:fill="1F4E78"/>
          </w:tcPr>
          <w:p>
            <w:r>
              <w:rPr>
                <w:b/>
                <w:color w:val="FFFFFF"/>
              </w:rPr>
              <w:t>Indicateur</w:t>
            </w:r>
          </w:p>
        </w:tc>
        <w:tc>
          <w:tcPr>
            <w:tcW w:type="dxa" w:w="3969"/>
            <w:shd w:fill="1F4E78"/>
          </w:tcPr>
          <w:p>
            <w:r>
              <w:rPr>
                <w:b/>
                <w:color w:val="FFFFFF"/>
              </w:rPr>
              <w:t>Valeur</w:t>
            </w:r>
          </w:p>
        </w:tc>
      </w:tr>
      <w:tr>
        <w:tc>
          <w:tcPr>
            <w:tcW w:type="dxa" w:w="5102"/>
          </w:tcPr>
          <w:p>
            <w:r>
              <w:t>Lignes brutes</w:t>
            </w:r>
          </w:p>
        </w:tc>
        <w:tc>
          <w:tcPr>
            <w:tcW w:type="dxa" w:w="3969"/>
          </w:tcPr>
          <w:p>
            <w:r>
              <w:t>22346</w:t>
            </w:r>
          </w:p>
        </w:tc>
      </w:tr>
      <w:tr>
        <w:tc>
          <w:tcPr>
            <w:tcW w:type="dxa" w:w="5102"/>
            <w:shd w:fill="EAF2F8"/>
          </w:tcPr>
          <w:p>
            <w:r>
              <w:t>Doublons retires</w:t>
            </w:r>
          </w:p>
        </w:tc>
        <w:tc>
          <w:tcPr>
            <w:tcW w:type="dxa" w:w="3969"/>
            <w:shd w:fill="EAF2F8"/>
          </w:tcPr>
          <w:p>
            <w:r>
              <w:t>60</w:t>
            </w:r>
          </w:p>
        </w:tc>
      </w:tr>
      <w:tr>
        <w:tc>
          <w:tcPr>
            <w:tcW w:type="dxa" w:w="5102"/>
          </w:tcPr>
          <w:p>
            <w:r>
              <w:t>Transactions sans identifiant client</w:t>
            </w:r>
          </w:p>
        </w:tc>
        <w:tc>
          <w:tcPr>
            <w:tcW w:type="dxa" w:w="3969"/>
          </w:tcPr>
          <w:p>
            <w:r>
              <w:t>1315</w:t>
            </w:r>
          </w:p>
        </w:tc>
      </w:tr>
      <w:tr>
        <w:tc>
          <w:tcPr>
            <w:tcW w:type="dxa" w:w="5102"/>
            <w:shd w:fill="EAF2F8"/>
          </w:tcPr>
          <w:p>
            <w:r>
              <w:t>Retours exclus</w:t>
            </w:r>
          </w:p>
        </w:tc>
        <w:tc>
          <w:tcPr>
            <w:tcW w:type="dxa" w:w="3969"/>
            <w:shd w:fill="EAF2F8"/>
          </w:tcPr>
          <w:p>
            <w:r>
              <w:t>437</w:t>
            </w:r>
          </w:p>
        </w:tc>
      </w:tr>
      <w:tr>
        <w:tc>
          <w:tcPr>
            <w:tcW w:type="dxa" w:w="5102"/>
          </w:tcPr>
          <w:p>
            <w:r>
              <w:t>Lignes utilisees</w:t>
            </w:r>
          </w:p>
        </w:tc>
        <w:tc>
          <w:tcPr>
            <w:tcW w:type="dxa" w:w="3969"/>
          </w:tcPr>
          <w:p>
            <w:r>
              <w:t>20561</w:t>
            </w:r>
          </w:p>
        </w:tc>
      </w:tr>
      <w:tr>
        <w:tc>
          <w:tcPr>
            <w:tcW w:type="dxa" w:w="5102"/>
            <w:shd w:fill="EAF2F8"/>
          </w:tcPr>
          <w:p>
            <w:r>
              <w:t>Clients analyses</w:t>
            </w:r>
          </w:p>
        </w:tc>
        <w:tc>
          <w:tcPr>
            <w:tcW w:type="dxa" w:w="3969"/>
            <w:shd w:fill="EAF2F8"/>
          </w:tcPr>
          <w:p>
            <w:r>
              <w:t>880</w:t>
            </w:r>
          </w:p>
        </w:tc>
      </w:tr>
    </w:tbl>
    <w:p/>
    <w:p>
      <w:r>
        <w:t>Le montant de chaque ligne est calcule par quantite x prix unitaire. Les doublons, les transactions sans identifiant client et les retours ont ete exclus avant le calcul des indicateurs RFM.</w:t>
      </w:r>
    </w:p>
    <w:p>
      <w:pPr>
        <w:pStyle w:val="Heading1"/>
      </w:pPr>
      <w:r>
        <w:t>3 Indicateurs RFM et methode</w:t>
      </w:r>
    </w:p>
    <w:p>
      <w:r>
        <w:t>La date de reference est le 30/06/2025. Recence mesure le nombre de jours depuis le dernier achat. Frequence compte les factures distinctes. Montant additionne les depenses en FCFA. Les trois variables sont transformees avec log(1+x), puis standardisees. K-means est ajuste avec 25 initialisations et une graine aleatoire fixe a 42.</w:t>
      </w:r>
    </w:p>
    <w:p>
      <w:r>
        <w:t>Le tableau diagnostic_k.csv fournit les inerties et scores de silhouette pour k de 2 a 8. Le score maximal determine le nombre de groupes retenu.</w:t>
      </w:r>
    </w:p>
    <w:p>
      <w:pPr>
        <w:pStyle w:val="Heading1"/>
      </w:pPr>
      <w:r>
        <w:t>4 Resultats de segmentation</w:t>
      </w:r>
    </w:p>
    <w:tbl>
      <w:tblPr>
        <w:tblStyle w:val="TableGrid"/>
        <w:tblW w:type="auto" w:w="0"/>
        <w:tblLook w:firstColumn="1" w:firstRow="1" w:lastColumn="0" w:lastRow="0" w:noHBand="0" w:noVBand="1" w:val="04A0"/>
      </w:tblPr>
      <w:tblGrid>
        <w:gridCol w:w="1643"/>
        <w:gridCol w:w="1643"/>
        <w:gridCol w:w="1643"/>
        <w:gridCol w:w="1643"/>
        <w:gridCol w:w="1643"/>
        <w:gridCol w:w="1643"/>
      </w:tblGrid>
      <w:tr>
        <w:tc>
          <w:tcPr>
            <w:tcW w:type="dxa" w:w="2268"/>
            <w:shd w:fill="1F4E78"/>
          </w:tcPr>
          <w:p>
            <w:r>
              <w:rPr>
                <w:b/>
                <w:color w:val="FFFFFF"/>
              </w:rPr>
              <w:t>Segment</w:t>
            </w:r>
          </w:p>
        </w:tc>
        <w:tc>
          <w:tcPr>
            <w:tcW w:type="dxa" w:w="1134"/>
            <w:shd w:fill="1F4E78"/>
          </w:tcPr>
          <w:p>
            <w:r>
              <w:rPr>
                <w:b/>
                <w:color w:val="FFFFFF"/>
              </w:rPr>
              <w:t>Clients</w:t>
            </w:r>
          </w:p>
        </w:tc>
        <w:tc>
          <w:tcPr>
            <w:tcW w:type="dxa" w:w="964"/>
            <w:shd w:fill="1F4E78"/>
          </w:tcPr>
          <w:p>
            <w:r>
              <w:rPr>
                <w:b/>
                <w:color w:val="FFFFFF"/>
              </w:rPr>
              <w:t>Part</w:t>
            </w:r>
          </w:p>
        </w:tc>
        <w:tc>
          <w:tcPr>
            <w:tcW w:type="dxa" w:w="1474"/>
            <w:shd w:fill="1F4E78"/>
          </w:tcPr>
          <w:p>
            <w:r>
              <w:rPr>
                <w:b/>
                <w:color w:val="FFFFFF"/>
              </w:rPr>
              <w:t>Recence moyenne</w:t>
            </w:r>
          </w:p>
        </w:tc>
        <w:tc>
          <w:tcPr>
            <w:tcW w:type="dxa" w:w="1587"/>
            <w:shd w:fill="1F4E78"/>
          </w:tcPr>
          <w:p>
            <w:r>
              <w:rPr>
                <w:b/>
                <w:color w:val="FFFFFF"/>
              </w:rPr>
              <w:t>Frequence moyenne</w:t>
            </w:r>
          </w:p>
        </w:tc>
        <w:tc>
          <w:tcPr>
            <w:tcW w:type="dxa" w:w="1701"/>
            <w:shd w:fill="1F4E78"/>
          </w:tcPr>
          <w:p>
            <w:r>
              <w:rPr>
                <w:b/>
                <w:color w:val="FFFFFF"/>
              </w:rPr>
              <w:t>Montant moyen FCFA</w:t>
            </w:r>
          </w:p>
        </w:tc>
      </w:tr>
      <w:tr>
        <w:tc>
          <w:tcPr>
            <w:tcW w:type="dxa" w:w="2268"/>
          </w:tcPr>
          <w:p>
            <w:r>
              <w:t>Fideles a forte valeur</w:t>
            </w:r>
          </w:p>
        </w:tc>
        <w:tc>
          <w:tcPr>
            <w:tcW w:type="dxa" w:w="1134"/>
          </w:tcPr>
          <w:p>
            <w:r>
              <w:t>179</w:t>
            </w:r>
          </w:p>
        </w:tc>
        <w:tc>
          <w:tcPr>
            <w:tcW w:type="dxa" w:w="964"/>
          </w:tcPr>
          <w:p>
            <w:r>
              <w:t>20.3%</w:t>
            </w:r>
          </w:p>
        </w:tc>
        <w:tc>
          <w:tcPr>
            <w:tcW w:type="dxa" w:w="1474"/>
          </w:tcPr>
          <w:p>
            <w:r>
              <w:t>28</w:t>
            </w:r>
          </w:p>
        </w:tc>
        <w:tc>
          <w:tcPr>
            <w:tcW w:type="dxa" w:w="1587"/>
          </w:tcPr>
          <w:p>
            <w:r>
              <w:t>25.0</w:t>
            </w:r>
          </w:p>
        </w:tc>
        <w:tc>
          <w:tcPr>
            <w:tcW w:type="dxa" w:w="1701"/>
          </w:tcPr>
          <w:p>
            <w:r>
              <w:t>1,688,519</w:t>
            </w:r>
          </w:p>
        </w:tc>
      </w:tr>
      <w:tr>
        <w:tc>
          <w:tcPr>
            <w:tcW w:type="dxa" w:w="2268"/>
            <w:shd w:fill="EAF2F8"/>
          </w:tcPr>
          <w:p>
            <w:r>
              <w:t>A reactiver</w:t>
            </w:r>
          </w:p>
        </w:tc>
        <w:tc>
          <w:tcPr>
            <w:tcW w:type="dxa" w:w="1134"/>
            <w:shd w:fill="EAF2F8"/>
          </w:tcPr>
          <w:p>
            <w:r>
              <w:t>701</w:t>
            </w:r>
          </w:p>
        </w:tc>
        <w:tc>
          <w:tcPr>
            <w:tcW w:type="dxa" w:w="964"/>
            <w:shd w:fill="EAF2F8"/>
          </w:tcPr>
          <w:p>
            <w:r>
              <w:t>79.7%</w:t>
            </w:r>
          </w:p>
        </w:tc>
        <w:tc>
          <w:tcPr>
            <w:tcW w:type="dxa" w:w="1474"/>
            <w:shd w:fill="EAF2F8"/>
          </w:tcPr>
          <w:p>
            <w:r>
              <w:t>189</w:t>
            </w:r>
          </w:p>
        </w:tc>
        <w:tc>
          <w:tcPr>
            <w:tcW w:type="dxa" w:w="1587"/>
            <w:shd w:fill="EAF2F8"/>
          </w:tcPr>
          <w:p>
            <w:r>
              <w:t>3.3</w:t>
            </w:r>
          </w:p>
        </w:tc>
        <w:tc>
          <w:tcPr>
            <w:tcW w:type="dxa" w:w="1701"/>
            <w:shd w:fill="EAF2F8"/>
          </w:tcPr>
          <w:p>
            <w:r>
              <w:t>94,255</w:t>
            </w:r>
          </w:p>
        </w:tc>
      </w:tr>
    </w:tbl>
    <w:p/>
    <w:p>
      <w:r>
        <w:t>La visualisation 2D de l ACP est disponible dans le fichier 04_acp_segments.svg.</w:t>
      </w:r>
    </w:p>
    <w:p>
      <w:pPr>
        <w:pStyle w:val="Heading1"/>
      </w:pPr>
      <w:r>
        <w:t>5 Fiches strategiques</w:t>
      </w:r>
    </w:p>
    <w:tbl>
      <w:tblPr>
        <w:tblStyle w:val="TableGrid"/>
        <w:tblW w:type="auto" w:w="0"/>
        <w:tblLook w:firstColumn="1" w:firstRow="1" w:lastColumn="0" w:lastRow="0" w:noHBand="0" w:noVBand="1" w:val="04A0"/>
      </w:tblPr>
      <w:tblGrid>
        <w:gridCol w:w="3286"/>
        <w:gridCol w:w="3286"/>
        <w:gridCol w:w="3286"/>
      </w:tblGrid>
      <w:tr>
        <w:tc>
          <w:tcPr>
            <w:tcW w:type="dxa" w:w="2268"/>
            <w:shd w:fill="1F4E78"/>
          </w:tcPr>
          <w:p>
            <w:r>
              <w:rPr>
                <w:b/>
                <w:color w:val="FFFFFF"/>
              </w:rPr>
              <w:t>Segment</w:t>
            </w:r>
          </w:p>
        </w:tc>
        <w:tc>
          <w:tcPr>
            <w:tcW w:type="dxa" w:w="2948"/>
            <w:shd w:fill="1F4E78"/>
          </w:tcPr>
          <w:p>
            <w:r>
              <w:rPr>
                <w:b/>
                <w:color w:val="FFFFFF"/>
              </w:rPr>
              <w:t>Action recommandee</w:t>
            </w:r>
          </w:p>
        </w:tc>
        <w:tc>
          <w:tcPr>
            <w:tcW w:type="dxa" w:w="3515"/>
            <w:shd w:fill="1F4E78"/>
          </w:tcPr>
          <w:p>
            <w:r>
              <w:rPr>
                <w:b/>
                <w:color w:val="FFFFFF"/>
              </w:rPr>
              <w:t>Objectif</w:t>
            </w:r>
          </w:p>
        </w:tc>
      </w:tr>
      <w:tr>
        <w:tc>
          <w:tcPr>
            <w:tcW w:type="dxa" w:w="2268"/>
          </w:tcPr>
          <w:p>
            <w:r>
              <w:t>Fideles a forte valeur</w:t>
            </w:r>
          </w:p>
        </w:tc>
        <w:tc>
          <w:tcPr>
            <w:tcW w:type="dxa" w:w="2948"/>
          </w:tcPr>
          <w:p>
            <w:r>
              <w:t>Programme VIP et avantages personnalises</w:t>
            </w:r>
          </w:p>
        </w:tc>
        <w:tc>
          <w:tcPr>
            <w:tcW w:type="dxa" w:w="3515"/>
          </w:tcPr>
          <w:p>
            <w:r>
              <w:t>Fideliser, proposer ventes croisees et acces anticipe aux offres.</w:t>
            </w:r>
          </w:p>
        </w:tc>
      </w:tr>
      <w:tr>
        <w:tc>
          <w:tcPr>
            <w:tcW w:type="dxa" w:w="2268"/>
            <w:shd w:fill="EAF2F8"/>
          </w:tcPr>
          <w:p>
            <w:r>
              <w:t>A reactiver</w:t>
            </w:r>
          </w:p>
        </w:tc>
        <w:tc>
          <w:tcPr>
            <w:tcW w:type="dxa" w:w="2948"/>
            <w:shd w:fill="EAF2F8"/>
          </w:tcPr>
          <w:p>
            <w:r>
              <w:t>Campagne de relance SMS ou WhatsApp</w:t>
            </w:r>
          </w:p>
        </w:tc>
        <w:tc>
          <w:tcPr>
            <w:tcW w:type="dxa" w:w="3515"/>
            <w:shd w:fill="EAF2F8"/>
          </w:tcPr>
          <w:p>
            <w:r>
              <w:t>Offre limitee dans le temps et rappel des produits deja achetes.</w:t>
            </w:r>
          </w:p>
        </w:tc>
      </w:tr>
    </w:tbl>
    <w:p/>
    <w:p>
      <w:pPr>
        <w:pStyle w:val="Heading1"/>
      </w:pPr>
      <w:r>
        <w:t>6 Limites et suite</w:t>
      </w:r>
    </w:p>
    <w:p>
      <w:r>
        <w:t>Les resultats decrivent les clients identifies, pas les achats sans carte de fidelite. Les segments doivent etre suivis dans le temps et testes par campagne. Une extension utile serait de recommander des produits par segment ou de prevoir les ventes mensuelles.</w:t>
      </w:r>
    </w:p>
    <w:sectPr w:rsidR="00FC693F" w:rsidRPr="0006063C" w:rsidSect="00034616">
      <w:footerReference w:type="default" r:id="rId9"/>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Projet ML 4 Commerce - Segmentation clientele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