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600"/>
      </w:pPr>
    </w:p>
    <w:p>
      <w:pPr>
        <w:pBdr>
          <w:bottom w:val="single" w:color="1B4F72" w:sz="12" w:space="8"/>
        </w:pBdr>
      </w:pPr>
    </w:p>
    <w:p>
      <w:pPr>
        <w:spacing w:after="200"/>
      </w:pPr>
    </w:p>
    <w:p>
      <w:pPr>
        <w:spacing w:after="80"/>
        <w:jc w:val="center"/>
      </w:pPr>
      <w:r>
        <w:rPr>
          <w:rFonts w:ascii="Arial" w:cs="Arial" w:eastAsia="Arial" w:hAnsi="Arial"/>
          <w:b/>
          <w:bCs/>
          <w:color w:val="2E86C1"/>
          <w:sz w:val="22"/>
          <w:szCs w:val="22"/>
        </w:rPr>
        <w:t xml:space="preserve">INSTITUTO NACIONAL DE INVESTIGACIÓN</w:t>
      </w:r>
    </w:p>
    <w:p>
      <w:pPr>
        <w:spacing w:after="200"/>
        <w:jc w:val="center"/>
      </w:pPr>
      <w:r>
        <w:rPr>
          <w:rFonts w:ascii="Arial" w:cs="Arial" w:eastAsia="Arial" w:hAnsi="Arial"/>
          <w:b/>
          <w:bCs/>
          <w:color w:val="2E86C1"/>
          <w:sz w:val="22"/>
          <w:szCs w:val="22"/>
        </w:rPr>
        <w:t xml:space="preserve">Y DESARROLLO PESQUERO (INIDEP)</w:t>
      </w:r>
    </w:p>
    <w:p>
      <w:pPr>
        <w:spacing w:after="100"/>
        <w:jc w:val="center"/>
      </w:pPr>
      <w:r>
        <w:rPr>
          <w:rFonts w:ascii="Arial" w:cs="Arial" w:eastAsia="Arial" w:hAnsi="Arial"/>
          <w:b/>
          <w:bCs/>
          <w:color w:val="1B4F72"/>
          <w:sz w:val="36"/>
          <w:szCs w:val="36"/>
        </w:rPr>
        <w:t xml:space="preserve">PROGRAMA OBSERVADORES A BORDO</w:t>
      </w:r>
    </w:p>
    <w:p>
      <w:pPr>
        <w:spacing w:after="100"/>
      </w:pPr>
    </w:p>
    <w:p>
      <w:pPr>
        <w:pBdr>
          <w:bottom w:val="single" w:color="5DADE2" w:sz="4" w:space="8"/>
        </w:pBdr>
      </w:pPr>
    </w:p>
    <w:p>
      <w:pPr>
        <w:spacing w:after="200"/>
      </w:pPr>
    </w:p>
    <w:p>
      <w:pPr>
        <w:spacing w:after="100"/>
        <w:jc w:val="center"/>
      </w:pPr>
      <w:r>
        <w:rPr>
          <w:rFonts w:ascii="Arial" w:cs="Arial" w:eastAsia="Arial" w:hAnsi="Arial"/>
          <w:b/>
          <w:bCs/>
          <w:color w:val="1B4F72"/>
          <w:sz w:val="32"/>
          <w:szCs w:val="32"/>
        </w:rPr>
        <w:t xml:space="preserve">INFORME DE EJECUCIÓN DE MAREAS</w:t>
      </w:r>
    </w:p>
    <w:p>
      <w:pPr>
        <w:spacing w:after="60"/>
        <w:jc w:val="center"/>
      </w:pPr>
      <w:r>
        <w:rPr>
          <w:rFonts w:ascii="Arial" w:cs="Arial" w:eastAsia="Arial" w:hAnsi="Arial"/>
          <w:color w:val="2E86C1"/>
          <w:sz w:val="28"/>
          <w:szCs w:val="28"/>
        </w:rPr>
        <w:t xml:space="preserve">1er Trimestre 2026</w:t>
      </w:r>
    </w:p>
    <w:p>
      <w:pPr>
        <w:spacing w:after="200"/>
        <w:jc w:val="center"/>
      </w:pPr>
      <w:r>
        <w:rPr>
          <w:rFonts w:ascii="Arial" w:cs="Arial" w:eastAsia="Arial" w:hAnsi="Arial"/>
          <w:color w:val="2C3E50"/>
          <w:sz w:val="22"/>
          <w:szCs w:val="22"/>
        </w:rPr>
        <w:t xml:space="preserve">(Enero – Marzo 2026)</w:t>
      </w:r>
    </w:p>
    <w:p>
      <w:pPr>
        <w:spacing w:after="400"/>
      </w:pPr>
    </w:p>
    <w:p>
      <w:pPr>
        <w:pBdr>
          <w:bottom w:val="single" w:color="1B4F72" w:sz="12" w:space="8"/>
        </w:pBdr>
      </w:pPr>
    </w:p>
    <w:p>
      <w:pPr>
        <w:spacing w:after="200"/>
      </w:pPr>
    </w:p>
    <w:p>
      <w:pPr>
        <w:jc w:val="center"/>
      </w:pPr>
      <w:r>
        <w:rPr>
          <w:rFonts w:ascii="Arial" w:cs="Arial" w:eastAsia="Arial" w:hAnsi="Arial"/>
          <w:i/>
          <w:iCs/>
          <w:color w:val="2C3E50"/>
          <w:sz w:val="20"/>
          <w:szCs w:val="20"/>
        </w:rPr>
        <w:t xml:space="preserve">Mar del Plata, Marzo 2026</w:t>
      </w:r>
    </w:p>
    <w:p>
      <w:pPr>
        <w:spacing w:before="60"/>
        <w:jc w:val="center"/>
      </w:pPr>
      <w:r>
        <w:rPr>
          <w:rFonts w:ascii="Arial" w:cs="Arial" w:eastAsia="Arial" w:hAnsi="Arial"/>
          <w:i/>
          <w:iCs/>
          <w:color w:val="2E86C1"/>
          <w:sz w:val="18"/>
          <w:szCs w:val="18"/>
        </w:rPr>
        <w:t xml:space="preserve">Documento de circulación interna</w:t>
      </w:r>
    </w:p>
    <w:p>
      <w:pPr>
        <w:sectPr>
          <w:pgSz w:w="11906" w:h="16838" w:orient="portrait"/>
          <w:pgMar w:top="720" w:right="1080" w:bottom="720" w:left="1080" w:header="708" w:footer="708" w:gutter="0"/>
          <w:pgNumType/>
          <w:docGrid w:linePitch="360"/>
        </w:sectPr>
      </w:pPr>
    </w:p>
    <w:p>
      <w:pPr>
        <w:pStyle w:val="Heading1"/>
      </w:pPr>
      <w:r>
        <w:rPr>
          <w:rFonts w:ascii="Arial" w:cs="Arial" w:eastAsia="Arial" w:hAnsi="Arial"/>
          <w:b/>
          <w:bCs/>
          <w:color w:val="1B4F72"/>
          <w:sz w:val="28"/>
          <w:szCs w:val="28"/>
        </w:rPr>
        <w:t xml:space="preserve">1. INTRODUCCIÓN</w:t>
      </w:r>
    </w:p>
    <w:p>
      <w:pPr>
        <w:spacing w:after="120"/>
      </w:pPr>
      <w:r>
        <w:rPr>
          <w:rFonts w:ascii="Arial" w:cs="Arial" w:eastAsia="Arial" w:hAnsi="Arial"/>
          <w:color w:val="2C3E50"/>
          <w:sz w:val="20"/>
          <w:szCs w:val="20"/>
        </w:rPr>
        <w:t xml:space="preserve">El presente informe describe la ejecución de mareas comerciales del Programa Observadores a Bordo del INIDEP correspondiente al primer trimestre del año 2026 (enero – marzo). El documento consolida las estadísticas operativas de personal embarcado, navegación efectiva y distribución por pesquería, con el objetivo de brindar una visión integral de la actividad de observación durante el período.</w:t>
      </w:r>
    </w:p>
    <w:p>
      <w:pPr>
        <w:spacing w:after="120"/>
      </w:pPr>
      <w:r>
        <w:rPr>
          <w:rFonts w:ascii="Arial" w:cs="Arial" w:eastAsia="Arial" w:hAnsi="Arial"/>
          <w:color w:val="2C3E50"/>
          <w:sz w:val="20"/>
          <w:szCs w:val="20"/>
        </w:rPr>
        <w:t xml:space="preserve">La información aquí reportada comprende tanto las mareas iniciadas durante el trimestre como aquellas provenientes de 2025 que mantuvieron días de navegación dentro del rango temporal analizado.</w:t>
      </w:r>
    </w:p>
    <w:p>
      <w:pPr>
        <w:spacing w:after="100"/>
      </w:pPr>
    </w:p>
    <w:p>
      <w:pPr>
        <w:pStyle w:val="Heading1"/>
      </w:pPr>
      <w:r>
        <w:rPr>
          <w:rFonts w:ascii="Arial" w:cs="Arial" w:eastAsia="Arial" w:hAnsi="Arial"/>
          <w:b/>
          <w:bCs/>
          <w:color w:val="1B4F72"/>
          <w:sz w:val="28"/>
          <w:szCs w:val="28"/>
        </w:rPr>
        <w:t xml:space="preserve">2. RESUMEN EJECUTIVO</w:t>
      </w:r>
    </w:p>
    <w:p>
      <w:pPr>
        <w:spacing w:after="120"/>
      </w:pPr>
      <w:r>
        <w:rPr>
          <w:rFonts w:ascii="Arial" w:cs="Arial" w:eastAsia="Arial" w:hAnsi="Arial"/>
          <w:color w:val="2C3E50"/>
          <w:sz w:val="20"/>
          <w:szCs w:val="20"/>
        </w:rPr>
        <w:t xml:space="preserve">A continuación se presentan los indicadores clave de gestión del período:</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82"/>
        <w:gridCol w:w="200"/>
        <w:gridCol w:w="3082"/>
        <w:gridCol w:w="200"/>
        <w:gridCol w:w="3082"/>
      </w:tblGrid>
      <w:tr>
        <w:tc>
          <w:tcPr>
            <w:tcW w:type="dxa" w:w="3082"/>
            <w:tcBorders>
              <w:top w:val="none" w:color="FFFFFF" w:sz="0"/>
              <w:left w:val="none" w:color="FFFFFF" w:sz="0"/>
              <w:bottom w:val="none" w:color="FFFFFF" w:sz="0"/>
              <w:right w:val="none" w:color="FFFFFF" w:sz="0"/>
            </w:tcBorders>
            <w:shd w:fill="D6EAF8" w:val="clear"/>
            <w:tcMar>
              <w:top w:type="dxa" w:w="120"/>
              <w:left w:type="dxa" w:w="150"/>
              <w:bottom w:type="dxa" w:w="120"/>
              <w:right w:type="dxa" w:w="150"/>
            </w:tcMar>
            <w:vAlign w:val="center"/>
          </w:tcPr>
          <w:p>
            <w:pPr>
              <w:spacing w:after="40"/>
              <w:jc w:val="center"/>
            </w:pPr>
            <w:r>
              <w:rPr>
                <w:rFonts w:ascii="Arial" w:cs="Arial" w:eastAsia="Arial" w:hAnsi="Arial"/>
                <w:b/>
                <w:bCs/>
                <w:color w:val="1B4F72"/>
                <w:sz w:val="36"/>
                <w:szCs w:val="36"/>
              </w:rPr>
              <w:t xml:space="preserve">48</w:t>
            </w:r>
          </w:p>
          <w:p>
            <w:pPr>
              <w:jc w:val="center"/>
            </w:pPr>
            <w:r>
              <w:rPr>
                <w:rFonts w:ascii="Arial" w:cs="Arial" w:eastAsia="Arial" w:hAnsi="Arial"/>
                <w:color w:val="2E86C1"/>
                <w:sz w:val="16"/>
                <w:szCs w:val="16"/>
              </w:rPr>
              <w:t xml:space="preserve">Observadores afectados</w:t>
            </w:r>
          </w:p>
        </w:tc>
        <w:tc>
          <w:tcPr>
            <w:tcW w:type="dxa" w:w="200"/>
            <w:tcBorders>
              <w:top w:val="none" w:color="FFFFFF" w:sz="0"/>
              <w:left w:val="none" w:color="FFFFFF" w:sz="0"/>
              <w:bottom w:val="none" w:color="FFFFFF" w:sz="0"/>
              <w:right w:val="none" w:color="FFFFFF" w:sz="0"/>
            </w:tcBorders>
          </w:tcPr>
          <w:p>
            <w:r>
              <w:t xml:space="preserve"/>
            </w:r>
          </w:p>
        </w:tc>
        <w:tc>
          <w:tcPr>
            <w:tcW w:type="dxa" w:w="3082"/>
            <w:tcBorders>
              <w:top w:val="none" w:color="FFFFFF" w:sz="0"/>
              <w:left w:val="none" w:color="FFFFFF" w:sz="0"/>
              <w:bottom w:val="none" w:color="FFFFFF" w:sz="0"/>
              <w:right w:val="none" w:color="FFFFFF" w:sz="0"/>
            </w:tcBorders>
            <w:shd w:fill="D6EAF8" w:val="clear"/>
            <w:tcMar>
              <w:top w:type="dxa" w:w="120"/>
              <w:left w:type="dxa" w:w="150"/>
              <w:bottom w:type="dxa" w:w="120"/>
              <w:right w:type="dxa" w:w="150"/>
            </w:tcMar>
            <w:vAlign w:val="center"/>
          </w:tcPr>
          <w:p>
            <w:pPr>
              <w:spacing w:after="40"/>
              <w:jc w:val="center"/>
            </w:pPr>
            <w:r>
              <w:rPr>
                <w:rFonts w:ascii="Arial" w:cs="Arial" w:eastAsia="Arial" w:hAnsi="Arial"/>
                <w:b/>
                <w:bCs/>
                <w:color w:val="1B4F72"/>
                <w:sz w:val="36"/>
                <w:szCs w:val="36"/>
              </w:rPr>
              <w:t xml:space="preserve">68</w:t>
            </w:r>
          </w:p>
          <w:p>
            <w:pPr>
              <w:jc w:val="center"/>
            </w:pPr>
            <w:r>
              <w:rPr>
                <w:rFonts w:ascii="Arial" w:cs="Arial" w:eastAsia="Arial" w:hAnsi="Arial"/>
                <w:color w:val="2E86C1"/>
                <w:sz w:val="16"/>
                <w:szCs w:val="16"/>
              </w:rPr>
              <w:t xml:space="preserve">Mareas registradas</w:t>
            </w:r>
          </w:p>
        </w:tc>
        <w:tc>
          <w:tcPr>
            <w:tcW w:type="dxa" w:w="200"/>
            <w:tcBorders>
              <w:top w:val="none" w:color="FFFFFF" w:sz="0"/>
              <w:left w:val="none" w:color="FFFFFF" w:sz="0"/>
              <w:bottom w:val="none" w:color="FFFFFF" w:sz="0"/>
              <w:right w:val="none" w:color="FFFFFF" w:sz="0"/>
            </w:tcBorders>
          </w:tcPr>
          <w:p>
            <w:r>
              <w:t xml:space="preserve"/>
            </w:r>
          </w:p>
        </w:tc>
        <w:tc>
          <w:tcPr>
            <w:tcW w:type="dxa" w:w="3082"/>
            <w:tcBorders>
              <w:top w:val="none" w:color="FFFFFF" w:sz="0"/>
              <w:left w:val="none" w:color="FFFFFF" w:sz="0"/>
              <w:bottom w:val="none" w:color="FFFFFF" w:sz="0"/>
              <w:right w:val="none" w:color="FFFFFF" w:sz="0"/>
            </w:tcBorders>
            <w:shd w:fill="D6EAF8" w:val="clear"/>
            <w:tcMar>
              <w:top w:type="dxa" w:w="120"/>
              <w:left w:type="dxa" w:w="150"/>
              <w:bottom w:type="dxa" w:w="120"/>
              <w:right w:type="dxa" w:w="150"/>
            </w:tcMar>
            <w:vAlign w:val="center"/>
          </w:tcPr>
          <w:p>
            <w:pPr>
              <w:spacing w:after="40"/>
              <w:jc w:val="center"/>
            </w:pPr>
            <w:r>
              <w:rPr>
                <w:rFonts w:ascii="Arial" w:cs="Arial" w:eastAsia="Arial" w:hAnsi="Arial"/>
                <w:b/>
                <w:bCs/>
                <w:color w:val="1B4F72"/>
                <w:sz w:val="36"/>
                <w:szCs w:val="36"/>
              </w:rPr>
              <w:t xml:space="preserve">1.825</w:t>
            </w:r>
          </w:p>
          <w:p>
            <w:pPr>
              <w:jc w:val="center"/>
            </w:pPr>
            <w:r>
              <w:rPr>
                <w:rFonts w:ascii="Arial" w:cs="Arial" w:eastAsia="Arial" w:hAnsi="Arial"/>
                <w:color w:val="2E86C1"/>
                <w:sz w:val="16"/>
                <w:szCs w:val="16"/>
              </w:rPr>
              <w:t xml:space="preserve">Días navegados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82"/>
        <w:gridCol w:w="200"/>
        <w:gridCol w:w="3082"/>
        <w:gridCol w:w="200"/>
        <w:gridCol w:w="3082"/>
      </w:tblGrid>
      <w:tr>
        <w:tc>
          <w:tcPr>
            <w:tcW w:type="dxa" w:w="3082"/>
            <w:tcBorders>
              <w:top w:val="none" w:color="FFFFFF" w:sz="0"/>
              <w:left w:val="none" w:color="FFFFFF" w:sz="0"/>
              <w:bottom w:val="none" w:color="FFFFFF" w:sz="0"/>
              <w:right w:val="none" w:color="FFFFFF" w:sz="0"/>
            </w:tcBorders>
            <w:shd w:fill="D6EAF8" w:val="clear"/>
            <w:tcMar>
              <w:top w:type="dxa" w:w="120"/>
              <w:left w:type="dxa" w:w="150"/>
              <w:bottom w:type="dxa" w:w="120"/>
              <w:right w:type="dxa" w:w="150"/>
            </w:tcMar>
            <w:vAlign w:val="center"/>
          </w:tcPr>
          <w:p>
            <w:pPr>
              <w:spacing w:after="40"/>
              <w:jc w:val="center"/>
            </w:pPr>
            <w:r>
              <w:rPr>
                <w:rFonts w:ascii="Arial" w:cs="Arial" w:eastAsia="Arial" w:hAnsi="Arial"/>
                <w:b/>
                <w:bCs/>
                <w:color w:val="1B4F72"/>
                <w:sz w:val="36"/>
                <w:szCs w:val="36"/>
              </w:rPr>
              <w:t xml:space="preserve">48</w:t>
            </w:r>
          </w:p>
          <w:p>
            <w:pPr>
              <w:jc w:val="center"/>
            </w:pPr>
            <w:r>
              <w:rPr>
                <w:rFonts w:ascii="Arial" w:cs="Arial" w:eastAsia="Arial" w:hAnsi="Arial"/>
                <w:color w:val="2E86C1"/>
                <w:sz w:val="16"/>
                <w:szCs w:val="16"/>
              </w:rPr>
              <w:t xml:space="preserve">Mareas finalizadas</w:t>
            </w:r>
          </w:p>
        </w:tc>
        <w:tc>
          <w:tcPr>
            <w:tcW w:type="dxa" w:w="200"/>
            <w:tcBorders>
              <w:top w:val="none" w:color="FFFFFF" w:sz="0"/>
              <w:left w:val="none" w:color="FFFFFF" w:sz="0"/>
              <w:bottom w:val="none" w:color="FFFFFF" w:sz="0"/>
              <w:right w:val="none" w:color="FFFFFF" w:sz="0"/>
            </w:tcBorders>
          </w:tcPr>
          <w:p>
            <w:r>
              <w:t xml:space="preserve"/>
            </w:r>
          </w:p>
        </w:tc>
        <w:tc>
          <w:tcPr>
            <w:tcW w:type="dxa" w:w="3082"/>
            <w:tcBorders>
              <w:top w:val="none" w:color="FFFFFF" w:sz="0"/>
              <w:left w:val="none" w:color="FFFFFF" w:sz="0"/>
              <w:bottom w:val="none" w:color="FFFFFF" w:sz="0"/>
              <w:right w:val="none" w:color="FFFFFF" w:sz="0"/>
            </w:tcBorders>
            <w:shd w:fill="D6EAF8" w:val="clear"/>
            <w:tcMar>
              <w:top w:type="dxa" w:w="120"/>
              <w:left w:type="dxa" w:w="150"/>
              <w:bottom w:type="dxa" w:w="120"/>
              <w:right w:type="dxa" w:w="150"/>
            </w:tcMar>
            <w:vAlign w:val="center"/>
          </w:tcPr>
          <w:p>
            <w:pPr>
              <w:spacing w:after="40"/>
              <w:jc w:val="center"/>
            </w:pPr>
            <w:r>
              <w:rPr>
                <w:rFonts w:ascii="Arial" w:cs="Arial" w:eastAsia="Arial" w:hAnsi="Arial"/>
                <w:b/>
                <w:bCs/>
                <w:color w:val="1B4F72"/>
                <w:sz w:val="36"/>
                <w:szCs w:val="36"/>
              </w:rPr>
              <w:t xml:space="preserve">20</w:t>
            </w:r>
          </w:p>
          <w:p>
            <w:pPr>
              <w:jc w:val="center"/>
            </w:pPr>
            <w:r>
              <w:rPr>
                <w:rFonts w:ascii="Arial" w:cs="Arial" w:eastAsia="Arial" w:hAnsi="Arial"/>
                <w:color w:val="2E86C1"/>
                <w:sz w:val="16"/>
                <w:szCs w:val="16"/>
              </w:rPr>
              <w:t xml:space="preserve">Mareas en ejecución</w:t>
            </w:r>
          </w:p>
        </w:tc>
        <w:tc>
          <w:tcPr>
            <w:tcW w:type="dxa" w:w="200"/>
            <w:tcBorders>
              <w:top w:val="none" w:color="FFFFFF" w:sz="0"/>
              <w:left w:val="none" w:color="FFFFFF" w:sz="0"/>
              <w:bottom w:val="none" w:color="FFFFFF" w:sz="0"/>
              <w:right w:val="none" w:color="FFFFFF" w:sz="0"/>
            </w:tcBorders>
          </w:tcPr>
          <w:p>
            <w:r>
              <w:t xml:space="preserve"/>
            </w:r>
          </w:p>
        </w:tc>
        <w:tc>
          <w:tcPr>
            <w:tcW w:type="dxa" w:w="3082"/>
            <w:tcBorders>
              <w:top w:val="none" w:color="FFFFFF" w:sz="0"/>
              <w:left w:val="none" w:color="FFFFFF" w:sz="0"/>
              <w:bottom w:val="none" w:color="FFFFFF" w:sz="0"/>
              <w:right w:val="none" w:color="FFFFFF" w:sz="0"/>
            </w:tcBorders>
            <w:shd w:fill="D6EAF8" w:val="clear"/>
            <w:tcMar>
              <w:top w:type="dxa" w:w="120"/>
              <w:left w:type="dxa" w:w="150"/>
              <w:bottom w:type="dxa" w:w="120"/>
              <w:right w:type="dxa" w:w="150"/>
            </w:tcMar>
            <w:vAlign w:val="center"/>
          </w:tcPr>
          <w:p>
            <w:pPr>
              <w:spacing w:after="40"/>
              <w:jc w:val="center"/>
            </w:pPr>
            <w:r>
              <w:rPr>
                <w:rFonts w:ascii="Arial" w:cs="Arial" w:eastAsia="Arial" w:hAnsi="Arial"/>
                <w:b/>
                <w:bCs/>
                <w:color w:val="1B4F72"/>
                <w:sz w:val="36"/>
                <w:szCs w:val="36"/>
              </w:rPr>
              <w:t xml:space="preserve">93</w:t>
            </w:r>
          </w:p>
          <w:p>
            <w:pPr>
              <w:jc w:val="center"/>
            </w:pPr>
            <w:r>
              <w:rPr>
                <w:rFonts w:ascii="Arial" w:cs="Arial" w:eastAsia="Arial" w:hAnsi="Arial"/>
                <w:color w:val="2E86C1"/>
                <w:sz w:val="16"/>
                <w:szCs w:val="16"/>
              </w:rPr>
              <w:t xml:space="preserve">Etapas totales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82"/>
        <w:gridCol w:w="200"/>
        <w:gridCol w:w="3082"/>
        <w:gridCol w:w="200"/>
        <w:gridCol w:w="3082"/>
      </w:tblGrid>
      <w:tr>
        <w:tc>
          <w:tcPr>
            <w:tcW w:type="dxa" w:w="3082"/>
            <w:tcBorders>
              <w:top w:val="none" w:color="FFFFFF" w:sz="0"/>
              <w:left w:val="none" w:color="FFFFFF" w:sz="0"/>
              <w:bottom w:val="none" w:color="FFFFFF" w:sz="0"/>
              <w:right w:val="none" w:color="FFFFFF" w:sz="0"/>
            </w:tcBorders>
            <w:shd w:fill="D6EAF8" w:val="clear"/>
            <w:tcMar>
              <w:top w:type="dxa" w:w="120"/>
              <w:left w:type="dxa" w:w="150"/>
              <w:bottom w:type="dxa" w:w="120"/>
              <w:right w:type="dxa" w:w="150"/>
            </w:tcMar>
            <w:vAlign w:val="center"/>
          </w:tcPr>
          <w:p>
            <w:pPr>
              <w:spacing w:after="40"/>
              <w:jc w:val="center"/>
            </w:pPr>
            <w:r>
              <w:rPr>
                <w:rFonts w:ascii="Arial" w:cs="Arial" w:eastAsia="Arial" w:hAnsi="Arial"/>
                <w:b/>
                <w:bCs/>
                <w:color w:val="1B4F72"/>
                <w:sz w:val="36"/>
                <w:szCs w:val="36"/>
              </w:rPr>
              <w:t xml:space="preserve">98%</w:t>
            </w:r>
          </w:p>
          <w:p>
            <w:pPr>
              <w:jc w:val="center"/>
            </w:pPr>
            <w:r>
              <w:rPr>
                <w:rFonts w:ascii="Arial" w:cs="Arial" w:eastAsia="Arial" w:hAnsi="Arial"/>
                <w:color w:val="2E86C1"/>
                <w:sz w:val="16"/>
                <w:szCs w:val="16"/>
              </w:rPr>
              <w:t xml:space="preserve">Cobertura dotación</w:t>
            </w:r>
          </w:p>
        </w:tc>
        <w:tc>
          <w:tcPr>
            <w:tcW w:type="dxa" w:w="200"/>
            <w:tcBorders>
              <w:top w:val="none" w:color="FFFFFF" w:sz="0"/>
              <w:left w:val="none" w:color="FFFFFF" w:sz="0"/>
              <w:bottom w:val="none" w:color="FFFFFF" w:sz="0"/>
              <w:right w:val="none" w:color="FFFFFF" w:sz="0"/>
            </w:tcBorders>
          </w:tcPr>
          <w:p>
            <w:r>
              <w:t xml:space="preserve"/>
            </w:r>
          </w:p>
        </w:tc>
        <w:tc>
          <w:tcPr>
            <w:tcW w:type="dxa" w:w="3082"/>
            <w:tcBorders>
              <w:top w:val="none" w:color="FFFFFF" w:sz="0"/>
              <w:left w:val="none" w:color="FFFFFF" w:sz="0"/>
              <w:bottom w:val="none" w:color="FFFFFF" w:sz="0"/>
              <w:right w:val="none" w:color="FFFFFF" w:sz="0"/>
            </w:tcBorders>
            <w:shd w:fill="D6EAF8" w:val="clear"/>
            <w:tcMar>
              <w:top w:type="dxa" w:w="120"/>
              <w:left w:type="dxa" w:w="150"/>
              <w:bottom w:type="dxa" w:w="120"/>
              <w:right w:type="dxa" w:w="150"/>
            </w:tcMar>
            <w:vAlign w:val="center"/>
          </w:tcPr>
          <w:p>
            <w:pPr>
              <w:spacing w:after="40"/>
              <w:jc w:val="center"/>
            </w:pPr>
            <w:r>
              <w:rPr>
                <w:rFonts w:ascii="Arial" w:cs="Arial" w:eastAsia="Arial" w:hAnsi="Arial"/>
                <w:b/>
                <w:bCs/>
                <w:color w:val="1B4F72"/>
                <w:sz w:val="36"/>
                <w:szCs w:val="36"/>
              </w:rPr>
              <w:t xml:space="preserve">38</w:t>
            </w:r>
          </w:p>
          <w:p>
            <w:pPr>
              <w:jc w:val="center"/>
            </w:pPr>
            <w:r>
              <w:rPr>
                <w:rFonts w:ascii="Arial" w:cs="Arial" w:eastAsia="Arial" w:hAnsi="Arial"/>
                <w:color w:val="2E86C1"/>
                <w:sz w:val="16"/>
                <w:szCs w:val="16"/>
              </w:rPr>
              <w:t xml:space="preserve">Promedio días/obs.</w:t>
            </w:r>
          </w:p>
        </w:tc>
        <w:tc>
          <w:tcPr>
            <w:tcW w:type="dxa" w:w="200"/>
            <w:tcBorders>
              <w:top w:val="none" w:color="FFFFFF" w:sz="0"/>
              <w:left w:val="none" w:color="FFFFFF" w:sz="0"/>
              <w:bottom w:val="none" w:color="FFFFFF" w:sz="0"/>
              <w:right w:val="none" w:color="FFFFFF" w:sz="0"/>
            </w:tcBorders>
          </w:tcPr>
          <w:p>
            <w:r>
              <w:t xml:space="preserve"/>
            </w:r>
          </w:p>
        </w:tc>
        <w:tc>
          <w:tcPr>
            <w:tcW w:type="dxa" w:w="3082"/>
            <w:tcBorders>
              <w:top w:val="none" w:color="FFFFFF" w:sz="0"/>
              <w:left w:val="none" w:color="FFFFFF" w:sz="0"/>
              <w:bottom w:val="none" w:color="FFFFFF" w:sz="0"/>
              <w:right w:val="none" w:color="FFFFFF" w:sz="0"/>
            </w:tcBorders>
            <w:shd w:fill="D6EAF8" w:val="clear"/>
            <w:tcMar>
              <w:top w:type="dxa" w:w="120"/>
              <w:left w:type="dxa" w:w="150"/>
              <w:bottom w:type="dxa" w:w="120"/>
              <w:right w:type="dxa" w:w="150"/>
            </w:tcMar>
            <w:vAlign w:val="center"/>
          </w:tcPr>
          <w:p>
            <w:pPr>
              <w:spacing w:after="40"/>
              <w:jc w:val="center"/>
            </w:pPr>
            <w:r>
              <w:rPr>
                <w:rFonts w:ascii="Arial" w:cs="Arial" w:eastAsia="Arial" w:hAnsi="Arial"/>
                <w:b/>
                <w:bCs/>
                <w:color w:val="1B4F72"/>
                <w:sz w:val="36"/>
                <w:szCs w:val="36"/>
              </w:rPr>
              <w:t xml:space="preserve">6</w:t>
            </w:r>
          </w:p>
          <w:p>
            <w:pPr>
              <w:jc w:val="center"/>
            </w:pPr>
            <w:r>
              <w:rPr>
                <w:rFonts w:ascii="Arial" w:cs="Arial" w:eastAsia="Arial" w:hAnsi="Arial"/>
                <w:color w:val="2E86C1"/>
                <w:sz w:val="16"/>
                <w:szCs w:val="16"/>
              </w:rPr>
              <w:t xml:space="preserve">Pesquerías cubiertas</w:t>
            </w:r>
          </w:p>
        </w:tc>
      </w:tr>
    </w:tbl>
    <w:p>
      <w:pPr>
        <w:spacing w:after="100"/>
      </w:pPr>
    </w:p>
    <w:p>
      <w:pPr>
        <w:spacing w:after="120"/>
      </w:pPr>
      <w:r>
        <w:rPr>
          <w:rFonts w:ascii="Arial" w:cs="Arial" w:eastAsia="Arial" w:hAnsi="Arial"/>
          <w:color w:val="2C3E50"/>
          <w:sz w:val="20"/>
          <w:szCs w:val="20"/>
        </w:rPr>
        <w:t xml:space="preserve">El nivel de afectación del personal alcanzó el 98% de la dotación total del INIDEP (48 de 49 observadores), lo que evidencia un alto grado de operatividad. Se acumularon 1.825 días de navegación distribuidos en 68 mareas y 93 etapas, con cobertura efectiva en las seis pesquerías bajo observación.</w:t>
      </w:r>
    </w:p>
    <w:p>
      <w:pPr>
        <w:spacing w:after="60"/>
      </w:pPr>
    </w:p>
    <w:p>
      <w:pPr>
        <w:jc w:val="center"/>
      </w:pPr>
      <w:r>
        <w:drawing>
          <wp:inline distT="0" distB="0" distL="0" distR="0">
            <wp:extent cx="2667000" cy="2667000"/>
            <wp:effectExtent t="0" r="0" b="0" l="0"/>
            <wp:docPr id="1" name="chart_estado" descr="Gráfico de estado de mareas" title="Estado de M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2667000"/>
                    </a:xfrm>
                    <a:prstGeom prst="rect">
                      <a:avLst/>
                    </a:prstGeom>
                  </pic:spPr>
                </pic:pic>
              </a:graphicData>
            </a:graphic>
          </wp:inline>
        </w:drawing>
      </w:r>
    </w:p>
    <w:p>
      <w:pPr>
        <w:spacing w:after="100"/>
      </w:pPr>
    </w:p>
    <w:p>
      <w:r>
        <w:br w:type="page"/>
      </w:r>
    </w:p>
    <w:p>
      <w:pPr>
        <w:pStyle w:val="Heading1"/>
      </w:pPr>
      <w:r>
        <w:rPr>
          <w:rFonts w:ascii="Arial" w:cs="Arial" w:eastAsia="Arial" w:hAnsi="Arial"/>
          <w:b/>
          <w:bCs/>
          <w:color w:val="1B4F72"/>
          <w:sz w:val="28"/>
          <w:szCs w:val="28"/>
        </w:rPr>
        <w:t xml:space="preserve">3. ESTADÍSTICAS POR PESQUERÍA</w:t>
      </w:r>
    </w:p>
    <w:p>
      <w:pPr>
        <w:pStyle w:val="Heading2"/>
      </w:pPr>
      <w:r>
        <w:rPr>
          <w:rFonts w:ascii="Arial" w:cs="Arial" w:eastAsia="Arial" w:hAnsi="Arial"/>
          <w:b/>
          <w:bCs/>
          <w:color w:val="2E86C1"/>
          <w:sz w:val="24"/>
          <w:szCs w:val="24"/>
        </w:rPr>
        <w:t xml:space="preserve">3.1 Distribución de mareas, etapas y días navegados</w:t>
      </w:r>
    </w:p>
    <w:p>
      <w:pPr>
        <w:spacing w:after="120"/>
      </w:pPr>
      <w:r>
        <w:rPr>
          <w:rFonts w:ascii="Arial" w:cs="Arial" w:eastAsia="Arial" w:hAnsi="Arial"/>
          <w:color w:val="2C3E50"/>
          <w:sz w:val="20"/>
          <w:szCs w:val="20"/>
        </w:rPr>
        <w:t xml:space="preserve">La siguiente tabla presenta el desglose de la actividad por pesquería y tipo de flota:</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100"/>
        <w:gridCol w:w="1100"/>
        <w:gridCol w:w="1300"/>
        <w:gridCol w:w="1146"/>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Pesquería</w:t>
            </w:r>
          </w:p>
        </w:tc>
        <w:tc>
          <w:tcPr>
            <w:tcW w:type="dxa" w:w="1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Flota</w:t>
            </w:r>
          </w:p>
        </w:tc>
        <w:tc>
          <w:tcPr>
            <w:tcW w:type="dxa" w:w="1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Mareas</w:t>
            </w:r>
          </w:p>
        </w:tc>
        <w:tc>
          <w:tcPr>
            <w:tcW w:type="dxa" w:w="1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Etapas</w:t>
            </w:r>
          </w:p>
        </w:tc>
        <w:tc>
          <w:tcPr>
            <w:tcW w:type="dxa" w:w="13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Días Nav.</w:t>
            </w:r>
          </w:p>
        </w:tc>
        <w:tc>
          <w:tcPr>
            <w:tcW w:type="dxa" w:w="114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Días</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Calamar</w:t>
            </w:r>
          </w:p>
        </w:tc>
        <w:tc>
          <w:tcPr>
            <w:tcW w:type="dxa" w:w="1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Altura (Congelador)</w:t>
            </w:r>
          </w:p>
        </w:tc>
        <w:tc>
          <w:tcPr>
            <w:tcW w:type="dxa" w:w="11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21</w:t>
            </w:r>
          </w:p>
        </w:tc>
        <w:tc>
          <w:tcPr>
            <w:tcW w:type="dxa" w:w="11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25</w:t>
            </w:r>
          </w:p>
        </w:tc>
        <w:tc>
          <w:tcPr>
            <w:tcW w:type="dxa" w:w="13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541</w:t>
            </w:r>
          </w:p>
        </w:tc>
        <w:tc>
          <w:tcPr>
            <w:tcW w:type="dxa" w:w="1146"/>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29.6%</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Centolla</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Altura (Congelador)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18</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364</w:t>
            </w:r>
          </w:p>
        </w:tc>
        <w:tc>
          <w:tcPr>
            <w:tcW w:type="dxa" w:w="114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19.9%</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Especies australes</w:t>
            </w:r>
          </w:p>
        </w:tc>
        <w:tc>
          <w:tcPr>
            <w:tcW w:type="dxa" w:w="1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Altura (Congelador)</w:t>
            </w:r>
          </w:p>
        </w:tc>
        <w:tc>
          <w:tcPr>
            <w:tcW w:type="dxa" w:w="11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8</w:t>
            </w:r>
          </w:p>
        </w:tc>
        <w:tc>
          <w:tcPr>
            <w:tcW w:type="dxa" w:w="11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9</w:t>
            </w:r>
          </w:p>
        </w:tc>
        <w:tc>
          <w:tcPr>
            <w:tcW w:type="dxa" w:w="13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269</w:t>
            </w:r>
          </w:p>
        </w:tc>
        <w:tc>
          <w:tcPr>
            <w:tcW w:type="dxa" w:w="1146"/>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14.7%</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Merluza común</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Altura (Congelador)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8</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162</w:t>
            </w:r>
          </w:p>
        </w:tc>
        <w:tc>
          <w:tcPr>
            <w:tcW w:type="dxa" w:w="114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8.9%</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Merluza común</w:t>
            </w:r>
          </w:p>
        </w:tc>
        <w:tc>
          <w:tcPr>
            <w:tcW w:type="dxa" w:w="1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Altura (Fresquero)</w:t>
            </w:r>
          </w:p>
        </w:tc>
        <w:tc>
          <w:tcPr>
            <w:tcW w:type="dxa" w:w="11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9</w:t>
            </w:r>
          </w:p>
        </w:tc>
        <w:tc>
          <w:tcPr>
            <w:tcW w:type="dxa" w:w="11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19</w:t>
            </w:r>
          </w:p>
        </w:tc>
        <w:tc>
          <w:tcPr>
            <w:tcW w:type="dxa" w:w="13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162</w:t>
            </w:r>
          </w:p>
        </w:tc>
        <w:tc>
          <w:tcPr>
            <w:tcW w:type="dxa" w:w="1146"/>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8.9%</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Merluza negra</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Altura (Congelador)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77</w:t>
            </w:r>
          </w:p>
        </w:tc>
        <w:tc>
          <w:tcPr>
            <w:tcW w:type="dxa" w:w="114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4.2%</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Vieira</w:t>
            </w:r>
          </w:p>
        </w:tc>
        <w:tc>
          <w:tcPr>
            <w:tcW w:type="dxa" w:w="1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Altura (Congelador)</w:t>
            </w:r>
          </w:p>
        </w:tc>
        <w:tc>
          <w:tcPr>
            <w:tcW w:type="dxa" w:w="11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8</w:t>
            </w:r>
          </w:p>
        </w:tc>
        <w:tc>
          <w:tcPr>
            <w:tcW w:type="dxa" w:w="11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9</w:t>
            </w:r>
          </w:p>
        </w:tc>
        <w:tc>
          <w:tcPr>
            <w:tcW w:type="dxa" w:w="13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250</w:t>
            </w:r>
          </w:p>
        </w:tc>
        <w:tc>
          <w:tcPr>
            <w:tcW w:type="dxa" w:w="1146"/>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13.7%</w:t>
            </w:r>
          </w:p>
        </w:tc>
      </w:tr>
      <w:t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center"/>
            </w:pPr>
            <w:r>
              <w:rPr>
                <w:rFonts w:ascii="Arial" w:cs="Arial" w:eastAsia="Arial" w:hAnsi="Arial"/>
                <w:b/>
                <w:bCs/>
                <w:color w:val="2C3E50"/>
                <w:sz w:val="18"/>
                <w:szCs w:val="18"/>
              </w:rPr>
              <w:t xml:space="preserve">TOTAL</w:t>
            </w:r>
          </w:p>
        </w:tc>
        <w:tc>
          <w:tcPr>
            <w:tcW w:type="dxa" w:w="19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center"/>
            </w:pPr>
            <w:r>
              <w:rPr>
                <w:rFonts w:ascii="Arial" w:cs="Arial" w:eastAsia="Arial" w:hAnsi="Arial"/>
                <w:b/>
                <w:bCs/>
                <w:color w:val="2C3E50"/>
                <w:sz w:val="18"/>
                <w:szCs w:val="18"/>
              </w:rPr>
              <w:t xml:space="preserve">2 flotas</w:t>
            </w:r>
          </w:p>
        </w:tc>
        <w:tc>
          <w:tcPr>
            <w:tcW w:type="dxa" w:w="11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center"/>
            </w:pPr>
            <w:r>
              <w:rPr>
                <w:rFonts w:ascii="Arial" w:cs="Arial" w:eastAsia="Arial" w:hAnsi="Arial"/>
                <w:b/>
                <w:bCs/>
                <w:color w:val="2C3E50"/>
                <w:sz w:val="18"/>
                <w:szCs w:val="18"/>
              </w:rPr>
              <w:t xml:space="preserve">68</w:t>
            </w:r>
          </w:p>
        </w:tc>
        <w:tc>
          <w:tcPr>
            <w:tcW w:type="dxa" w:w="11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center"/>
            </w:pPr>
            <w:r>
              <w:rPr>
                <w:rFonts w:ascii="Arial" w:cs="Arial" w:eastAsia="Arial" w:hAnsi="Arial"/>
                <w:b/>
                <w:bCs/>
                <w:color w:val="2C3E50"/>
                <w:sz w:val="18"/>
                <w:szCs w:val="18"/>
              </w:rPr>
              <w:t xml:space="preserve">93</w:t>
            </w:r>
          </w:p>
        </w:tc>
        <w:tc>
          <w:tcPr>
            <w:tcW w:type="dxa" w:w="13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center"/>
            </w:pPr>
            <w:r>
              <w:rPr>
                <w:rFonts w:ascii="Arial" w:cs="Arial" w:eastAsia="Arial" w:hAnsi="Arial"/>
                <w:b/>
                <w:bCs/>
                <w:color w:val="2C3E50"/>
                <w:sz w:val="18"/>
                <w:szCs w:val="18"/>
              </w:rPr>
              <w:t xml:space="preserve">1.825</w:t>
            </w:r>
          </w:p>
        </w:tc>
        <w:tc>
          <w:tcPr>
            <w:tcW w:type="dxa" w:w="1146"/>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center"/>
            </w:pPr>
            <w:r>
              <w:rPr>
                <w:rFonts w:ascii="Arial" w:cs="Arial" w:eastAsia="Arial" w:hAnsi="Arial"/>
                <w:b/>
                <w:bCs/>
                <w:color w:val="2C3E50"/>
                <w:sz w:val="18"/>
                <w:szCs w:val="18"/>
              </w:rPr>
              <w:t xml:space="preserve">100%</w:t>
            </w:r>
          </w:p>
        </w:tc>
      </w:tr>
    </w:tbl>
    <w:p>
      <w:pPr>
        <w:spacing w:after="100"/>
      </w:pPr>
    </w:p>
    <w:p>
      <w:pPr>
        <w:spacing w:after="120"/>
      </w:pPr>
      <w:r>
        <w:rPr>
          <w:rFonts w:ascii="Arial" w:cs="Arial" w:eastAsia="Arial" w:hAnsi="Arial"/>
          <w:color w:val="2C3E50"/>
          <w:sz w:val="20"/>
          <w:szCs w:val="20"/>
        </w:rPr>
        <w:t xml:space="preserve">La pesquería de calamar concentró la mayor actividad con 21 mareas y 541 días navegados, representando el 29,6% del esfuerzo total. Le siguen centolla (19,9%), especies australes (14,7%) y vieira (13,7%). La merluza común operó en ambas flotas —congelador y fresquero— sumando en conjunto 14 mareas y 324 días. La merluza negra, si bien presentó menor volumen (4 mareas), registró operaciones de alta duración promedio.</w:t>
      </w:r>
    </w:p>
    <w:p>
      <w:pPr>
        <w:spacing w:after="60"/>
      </w:pPr>
    </w:p>
    <w:p>
      <w:pPr>
        <w:jc w:val="center"/>
      </w:pPr>
      <w:r>
        <w:drawing>
          <wp:inline distT="0" distB="0" distL="0" distR="0">
            <wp:extent cx="4762500" cy="2381250"/>
            <wp:effectExtent t="0" r="0" b="0" l="0"/>
            <wp:docPr id="1" name="chart_pesqueria" descr="Días navegados por pesquería" title="Días por Pesque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381250"/>
                    </a:xfrm>
                    <a:prstGeom prst="rect">
                      <a:avLst/>
                    </a:prstGeom>
                  </pic:spPr>
                </pic:pic>
              </a:graphicData>
            </a:graphic>
          </wp:inline>
        </w:drawing>
      </w:r>
    </w:p>
    <w:p>
      <w:pPr>
        <w:spacing w:after="60"/>
      </w:pPr>
    </w:p>
    <w:p>
      <w:pPr>
        <w:jc w:val="center"/>
      </w:pPr>
      <w:r>
        <w:drawing>
          <wp:inline distT="0" distB="0" distL="0" distR="0">
            <wp:extent cx="4762500" cy="2667000"/>
            <wp:effectExtent t="0" r="0" b="0" l="0"/>
            <wp:docPr id="1" name="chart_mareas_etapas" descr="Mareas y etapas por pesquería" title="Mareas y Eta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r>
        <w:br w:type="page"/>
      </w:r>
    </w:p>
    <w:p>
      <w:pPr>
        <w:pStyle w:val="Heading1"/>
      </w:pPr>
      <w:r>
        <w:rPr>
          <w:rFonts w:ascii="Arial" w:cs="Arial" w:eastAsia="Arial" w:hAnsi="Arial"/>
          <w:b/>
          <w:bCs/>
          <w:color w:val="1B4F72"/>
          <w:sz w:val="28"/>
          <w:szCs w:val="28"/>
        </w:rPr>
        <w:t xml:space="preserve">4. ESTADÍSTICAS DE PERSONAL</w:t>
      </w:r>
    </w:p>
    <w:p>
      <w:pPr>
        <w:pStyle w:val="Heading2"/>
      </w:pPr>
      <w:r>
        <w:rPr>
          <w:rFonts w:ascii="Arial" w:cs="Arial" w:eastAsia="Arial" w:hAnsi="Arial"/>
          <w:b/>
          <w:bCs/>
          <w:color w:val="2E86C1"/>
          <w:sz w:val="24"/>
          <w:szCs w:val="24"/>
        </w:rPr>
        <w:t xml:space="preserve">4.1 Indicadores generales de dotación</w:t>
      </w:r>
    </w:p>
    <w:p>
      <w:pPr>
        <w:spacing w:after="120"/>
      </w:pPr>
      <w:r>
        <w:rPr>
          <w:rFonts w:ascii="Arial" w:cs="Arial" w:eastAsia="Arial" w:hAnsi="Arial"/>
          <w:color w:val="2C3E50"/>
          <w:sz w:val="20"/>
          <w:szCs w:val="20"/>
        </w:rPr>
        <w:t xml:space="preserve">Durante el primer trimestre se afectaron 48 observadores sobre una dotación de 49, alcanzando una cobertura del 98%. El promedio de días navegados por observador fue de 38 días, con un rango que osciló entre 1 día (mínimo) y 81 días (máximo). La dispersión refleja la diversidad de asignaciones según pesquería, tipo de buque y duración de las campañas.</w:t>
      </w:r>
    </w:p>
    <w:p>
      <w:pPr>
        <w:spacing w:after="60"/>
      </w:pPr>
    </w:p>
    <w:p>
      <w:pPr>
        <w:pStyle w:val="Heading2"/>
      </w:pPr>
      <w:r>
        <w:rPr>
          <w:rFonts w:ascii="Arial" w:cs="Arial" w:eastAsia="Arial" w:hAnsi="Arial"/>
          <w:b/>
          <w:bCs/>
          <w:color w:val="2E86C1"/>
          <w:sz w:val="24"/>
          <w:szCs w:val="24"/>
        </w:rPr>
        <w:t xml:space="preserve">4.2 Ranking de observadores por días navegados</w:t>
      </w:r>
    </w:p>
    <w:p>
      <w:pPr>
        <w:spacing w:after="120"/>
      </w:pPr>
      <w:r>
        <w:rPr>
          <w:rFonts w:ascii="Arial" w:cs="Arial" w:eastAsia="Arial" w:hAnsi="Arial"/>
          <w:color w:val="2C3E50"/>
          <w:sz w:val="20"/>
          <w:szCs w:val="20"/>
        </w:rPr>
        <w:t xml:space="preserve">El siguiente gráfico muestra los diez observadores con mayor cantidad de días navegados durante el período, junto con la línea de promedio general (38 días):</w:t>
      </w:r>
    </w:p>
    <w:p>
      <w:pPr>
        <w:spacing w:after="60"/>
      </w:pPr>
    </w:p>
    <w:p>
      <w:pPr>
        <w:jc w:val="center"/>
      </w:pPr>
      <w:r>
        <w:drawing>
          <wp:inline distT="0" distB="0" distL="0" distR="0">
            <wp:extent cx="4762500" cy="2667000"/>
            <wp:effectExtent t="0" r="0" b="0" l="0"/>
            <wp:docPr id="1" name="chart_top_obs" descr="Top 10 observadores por días" title="Top 10 Observa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67000"/>
                    </a:xfrm>
                    <a:prstGeom prst="rect">
                      <a:avLst/>
                    </a:prstGeom>
                  </pic:spPr>
                </pic:pic>
              </a:graphicData>
            </a:graphic>
          </wp:inline>
        </w:drawing>
      </w:r>
    </w:p>
    <w:p>
      <w:pPr>
        <w:spacing w:after="100"/>
      </w:pPr>
    </w:p>
    <w:p>
      <w:pPr>
        <w:pStyle w:val="Heading2"/>
      </w:pPr>
      <w:r>
        <w:rPr>
          <w:rFonts w:ascii="Arial" w:cs="Arial" w:eastAsia="Arial" w:hAnsi="Arial"/>
          <w:b/>
          <w:bCs/>
          <w:color w:val="2E86C1"/>
          <w:sz w:val="24"/>
          <w:szCs w:val="24"/>
        </w:rPr>
        <w:t xml:space="preserve">4.3 Distribución completa de días navegados</w:t>
      </w:r>
    </w:p>
    <w:p>
      <w:pPr>
        <w:spacing w:after="120"/>
      </w:pPr>
      <w:r>
        <w:rPr>
          <w:rFonts w:ascii="Arial" w:cs="Arial" w:eastAsia="Arial" w:hAnsi="Arial"/>
          <w:color w:val="2C3E50"/>
          <w:sz w:val="20"/>
          <w:szCs w:val="20"/>
        </w:rPr>
        <w:t xml:space="preserve">La tabla siguiente detalla la totalidad de los observadores afectados, ordenados por días navegados de mayor a menor:</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500"/>
        <w:gridCol w:w="2123"/>
        <w:gridCol w:w="2123"/>
      </w:tblGrid>
      <w:tr>
        <w:tc>
          <w:tcPr>
            <w:tcW w:type="dxa" w:w="5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Observador</w:t>
            </w:r>
          </w:p>
        </w:tc>
        <w:tc>
          <w:tcPr>
            <w:tcW w:type="dxa" w:w="2123"/>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Mareas</w:t>
            </w:r>
          </w:p>
        </w:tc>
        <w:tc>
          <w:tcPr>
            <w:tcW w:type="dxa" w:w="2123"/>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Días Nav.</w:t>
            </w:r>
          </w:p>
        </w:tc>
      </w:tr>
      <w:tr>
        <w:tc>
          <w:tcPr>
            <w:tcW w:type="dxa" w:w="5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Walter Alejandro Glavina</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81</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Juan Manuel Staneff</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75</w:t>
            </w:r>
          </w:p>
        </w:tc>
      </w:tr>
      <w:tr>
        <w:tc>
          <w:tcPr>
            <w:tcW w:type="dxa" w:w="5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Raul Bernardo Bargas Peña</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71</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Cristian Oscar Piriz</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69</w:t>
            </w:r>
          </w:p>
        </w:tc>
      </w:tr>
      <w:tr>
        <w:tc>
          <w:tcPr>
            <w:tcW w:type="dxa" w:w="5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Morena Aylen Ledesma</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67</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Johnatan Challier</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65</w:t>
            </w:r>
          </w:p>
        </w:tc>
      </w:tr>
      <w:tr>
        <w:tc>
          <w:tcPr>
            <w:tcW w:type="dxa" w:w="5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Francisco German Sette</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63</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Diego Gorosito</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63</w:t>
            </w:r>
          </w:p>
        </w:tc>
      </w:tr>
      <w:tr>
        <w:tc>
          <w:tcPr>
            <w:tcW w:type="dxa" w:w="5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Juan José Coppa</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3</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61</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Maximiliano Adrian Godoy</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58</w:t>
            </w:r>
          </w:p>
        </w:tc>
      </w:tr>
      <w:tr>
        <w:tc>
          <w:tcPr>
            <w:tcW w:type="dxa" w:w="5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Nahuel Ramirez</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55</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Lucas Oscar Gaona</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55</w:t>
            </w:r>
          </w:p>
        </w:tc>
      </w:tr>
      <w:tr>
        <w:tc>
          <w:tcPr>
            <w:tcW w:type="dxa" w:w="5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Gabriel Alejandro Dumrauf</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54</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Pablo Julian Miranda</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54</w:t>
            </w:r>
          </w:p>
        </w:tc>
      </w:tr>
      <w:tr>
        <w:tc>
          <w:tcPr>
            <w:tcW w:type="dxa" w:w="5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María Laura Monterisi</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54</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Sergio Javier Gomez Mapiz</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53</w:t>
            </w:r>
          </w:p>
        </w:tc>
      </w:tr>
      <w:tr>
        <w:tc>
          <w:tcPr>
            <w:tcW w:type="dxa" w:w="5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Diego Sebastian Marchiori</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51</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Cristian Emmanuel Cerrina</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46</w:t>
            </w:r>
          </w:p>
        </w:tc>
      </w:tr>
      <w:tr>
        <w:tc>
          <w:tcPr>
            <w:tcW w:type="dxa" w:w="5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Camila Corti</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45</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Walter Alejandro Leon</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41</w:t>
            </w:r>
          </w:p>
        </w:tc>
      </w:tr>
      <w:tr>
        <w:tc>
          <w:tcPr>
            <w:tcW w:type="dxa" w:w="5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Leonardo Luis Spagnuolo Rey</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41</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Luis Gabriel Martinez Tecco</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36</w:t>
            </w:r>
          </w:p>
        </w:tc>
      </w:tr>
      <w:tr>
        <w:tc>
          <w:tcPr>
            <w:tcW w:type="dxa" w:w="5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Alejandro José Mazzei</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36</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Manuel Agustín Palos</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33</w:t>
            </w:r>
          </w:p>
        </w:tc>
      </w:tr>
      <w:tr>
        <w:tc>
          <w:tcPr>
            <w:tcW w:type="dxa" w:w="5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Lucas David Carabeta</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33</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Teresa Beatriz Reinaga</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30</w:t>
            </w:r>
          </w:p>
        </w:tc>
      </w:tr>
      <w:tr>
        <w:tc>
          <w:tcPr>
            <w:tcW w:type="dxa" w:w="5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Luciano Matte Casietto</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30</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Eduardo Silvester</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27</w:t>
            </w:r>
          </w:p>
        </w:tc>
      </w:tr>
      <w:tr>
        <w:tc>
          <w:tcPr>
            <w:tcW w:type="dxa" w:w="5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Jorge Guillermo Herrera</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27</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Paola Alejandra Navarro Grassi</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27</w:t>
            </w:r>
          </w:p>
        </w:tc>
      </w:tr>
      <w:tr>
        <w:tc>
          <w:tcPr>
            <w:tcW w:type="dxa" w:w="5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Daiana Anabella Molina Riquelme</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25</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Alexia Aguilar</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25</w:t>
            </w:r>
          </w:p>
        </w:tc>
      </w:tr>
      <w:tr>
        <w:tc>
          <w:tcPr>
            <w:tcW w:type="dxa" w:w="5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Daniel Enrique Ramunno</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25</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Richard Javier Espinola Gysin</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25</w:t>
            </w:r>
          </w:p>
        </w:tc>
      </w:tr>
      <w:tr>
        <w:tc>
          <w:tcPr>
            <w:tcW w:type="dxa" w:w="5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Nicolas Agustin Caballero</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23</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Fernando Alberto Schwartz</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23</w:t>
            </w:r>
          </w:p>
        </w:tc>
      </w:tr>
      <w:tr>
        <w:tc>
          <w:tcPr>
            <w:tcW w:type="dxa" w:w="5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Juan Francisco Rodriguez Fulco</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22</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Claudio Alberto Nadal</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21</w:t>
            </w:r>
          </w:p>
        </w:tc>
      </w:tr>
      <w:tr>
        <w:tc>
          <w:tcPr>
            <w:tcW w:type="dxa" w:w="5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Gabriel O.C. Gimenez Salinas</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21</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Sebastián Roque Garcia</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20</w:t>
            </w:r>
          </w:p>
        </w:tc>
      </w:tr>
      <w:tr>
        <w:tc>
          <w:tcPr>
            <w:tcW w:type="dxa" w:w="5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Carlos Daniel Herrera</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19</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Marcelo Simón Freyre</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18</w:t>
            </w:r>
          </w:p>
        </w:tc>
      </w:tr>
      <w:tr>
        <w:tc>
          <w:tcPr>
            <w:tcW w:type="dxa" w:w="5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Sergio Gastón Frontera</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18</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Nicolas Pereyra</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14</w:t>
            </w:r>
          </w:p>
        </w:tc>
      </w:tr>
      <w:tr>
        <w:tc>
          <w:tcPr>
            <w:tcW w:type="dxa" w:w="5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Nicolas F. Staneff Rotela</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12</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Estanislao Rodriguez Fulco</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10</w:t>
            </w:r>
          </w:p>
        </w:tc>
      </w:tr>
      <w:tr>
        <w:tc>
          <w:tcPr>
            <w:tcW w:type="dxa" w:w="5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Durbal Villalba</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2123"/>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Eduardo Esteban Aguilar</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212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r>
      <w:tr>
        <w:tc>
          <w:tcPr>
            <w:tcW w:type="dxa" w:w="55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TOTAL: 48 observadores</w:t>
            </w:r>
          </w:p>
        </w:tc>
        <w:tc>
          <w:tcPr>
            <w:tcW w:type="dxa" w:w="2123"/>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center"/>
            </w:pPr>
            <w:r>
              <w:rPr>
                <w:rFonts w:ascii="Arial" w:cs="Arial" w:eastAsia="Arial" w:hAnsi="Arial"/>
                <w:b/>
                <w:bCs/>
                <w:color w:val="2C3E50"/>
                <w:sz w:val="18"/>
                <w:szCs w:val="18"/>
              </w:rPr>
              <w:t xml:space="preserve"/>
            </w:r>
          </w:p>
        </w:tc>
        <w:tc>
          <w:tcPr>
            <w:tcW w:type="dxa" w:w="2123"/>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center"/>
            </w:pPr>
            <w:r>
              <w:rPr>
                <w:rFonts w:ascii="Arial" w:cs="Arial" w:eastAsia="Arial" w:hAnsi="Arial"/>
                <w:b/>
                <w:bCs/>
                <w:color w:val="2C3E50"/>
                <w:sz w:val="18"/>
                <w:szCs w:val="18"/>
              </w:rPr>
              <w:t xml:space="preserve">1.825</w:t>
            </w:r>
          </w:p>
        </w:tc>
      </w:tr>
    </w:tbl>
    <w:p>
      <w:r>
        <w:br w:type="page"/>
      </w:r>
    </w:p>
    <w:p>
      <w:pPr>
        <w:pStyle w:val="Heading1"/>
      </w:pPr>
      <w:r>
        <w:rPr>
          <w:rFonts w:ascii="Arial" w:cs="Arial" w:eastAsia="Arial" w:hAnsi="Arial"/>
          <w:b/>
          <w:bCs/>
          <w:color w:val="1B4F72"/>
          <w:sz w:val="28"/>
          <w:szCs w:val="28"/>
        </w:rPr>
        <w:t xml:space="preserve">5. DETALLE DE NAVEGACIÓN</w:t>
      </w:r>
    </w:p>
    <w:p>
      <w:pPr>
        <w:pStyle w:val="Heading2"/>
      </w:pPr>
      <w:r>
        <w:rPr>
          <w:rFonts w:ascii="Arial" w:cs="Arial" w:eastAsia="Arial" w:hAnsi="Arial"/>
          <w:b/>
          <w:bCs/>
          <w:color w:val="2E86C1"/>
          <w:sz w:val="24"/>
          <w:szCs w:val="24"/>
        </w:rPr>
        <w:t xml:space="preserve">5.1 Mareas finalizadas en el período</w:t>
      </w:r>
    </w:p>
    <w:p>
      <w:pPr>
        <w:spacing w:after="120"/>
      </w:pPr>
      <w:r>
        <w:rPr>
          <w:rFonts w:ascii="Arial" w:cs="Arial" w:eastAsia="Arial" w:hAnsi="Arial"/>
          <w:color w:val="2C3E50"/>
          <w:sz w:val="20"/>
          <w:szCs w:val="20"/>
        </w:rPr>
        <w:t xml:space="preserve">Se detallan a continuación las 48 mareas que alcanzaron estado “Finalizada” durante el trimestre, agrupadas por pesquería. Las 20 mareas restantes se encontraban en estado “En ejecución” al cierre del período.</w:t>
      </w:r>
    </w:p>
    <w:p>
      <w:pPr>
        <w:spacing w:after="6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200"/>
        <w:gridCol w:w="1300"/>
        <w:gridCol w:w="900"/>
        <w:gridCol w:w="900"/>
      </w:tblGrid>
      <w:tr>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Pesquería</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Buque</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Marea</w:t>
            </w:r>
          </w:p>
        </w:tc>
        <w:tc>
          <w:tcPr>
            <w:tcW w:type="dxa" w:w="13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Estado</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Etapas</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Días</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Calamar</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DON PEDRO</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5/2026</w:t>
            </w:r>
          </w:p>
        </w:tc>
        <w:tc>
          <w:tcPr>
            <w:tcW w:type="dxa" w:w="13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46</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Calamar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NATALIA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6/2026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26</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Calamar</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ECHIZEN MARU</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7/2026</w:t>
            </w:r>
          </w:p>
        </w:tc>
        <w:tc>
          <w:tcPr>
            <w:tcW w:type="dxa" w:w="13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40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Calamar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VIEIRASA DIECISIETE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15/2026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18</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Calamar</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NATALIA</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21/2026</w:t>
            </w:r>
          </w:p>
        </w:tc>
        <w:tc>
          <w:tcPr>
            <w:tcW w:type="dxa" w:w="13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28</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Calamar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API X</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25/2026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22</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Calamar</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LU QING YUAN YU 278</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30/2026</w:t>
            </w:r>
          </w:p>
        </w:tc>
        <w:tc>
          <w:tcPr>
            <w:tcW w:type="dxa" w:w="13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29</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Calamar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LU QING YUAN YU 277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33/2026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30</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Calamar</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MINTA</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189/2025</w:t>
            </w:r>
          </w:p>
        </w:tc>
        <w:tc>
          <w:tcPr>
            <w:tcW w:type="dxa" w:w="13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23</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Calamar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SOHO MARU 58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190/2025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40</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Calamar</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HUYU 962</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191/2025</w:t>
            </w:r>
          </w:p>
        </w:tc>
        <w:tc>
          <w:tcPr>
            <w:tcW w:type="dxa" w:w="13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33</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Calamar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Hai Xiang 16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192/2025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23</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Calamar</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Hai Xiang 17</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193/2025</w:t>
            </w:r>
          </w:p>
        </w:tc>
        <w:tc>
          <w:tcPr>
            <w:tcW w:type="dxa" w:w="13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22</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Calamar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DON LUIS 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198/2025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25</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Calamar</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SCIROCCO</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200/2025</w:t>
            </w:r>
          </w:p>
        </w:tc>
        <w:tc>
          <w:tcPr>
            <w:tcW w:type="dxa" w:w="13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27</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Calamar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NAVEGANTES III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201/2025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26</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Centolla</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CHIYO MARU Nº 3</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8/2026</w:t>
            </w:r>
          </w:p>
        </w:tc>
        <w:tc>
          <w:tcPr>
            <w:tcW w:type="dxa" w:w="13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27</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Centolla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TANGO II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12/2026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21</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Centolla</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TANGO I</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14/2026</w:t>
            </w:r>
          </w:p>
        </w:tc>
        <w:tc>
          <w:tcPr>
            <w:tcW w:type="dxa" w:w="13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45</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Centolla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ATLANTIC EXPRESS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16/2026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35</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Centolla</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CHIYO MARU Nº 3</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183/2025</w:t>
            </w:r>
          </w:p>
        </w:tc>
        <w:tc>
          <w:tcPr>
            <w:tcW w:type="dxa" w:w="13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4</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Centolla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TALISMAN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194/2025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63</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Centolla</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DUKAT</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195/2025</w:t>
            </w:r>
          </w:p>
        </w:tc>
        <w:tc>
          <w:tcPr>
            <w:tcW w:type="dxa" w:w="13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67</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Centolla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TANGO II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196/2025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25</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Centolla</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TANGO I</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197/2025</w:t>
            </w:r>
          </w:p>
        </w:tc>
        <w:tc>
          <w:tcPr>
            <w:tcW w:type="dxa" w:w="13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29</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Esp. australes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CENTURION DEL ATL.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2/2026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63</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Esp. australes</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TAI AN</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9/2026</w:t>
            </w:r>
          </w:p>
        </w:tc>
        <w:tc>
          <w:tcPr>
            <w:tcW w:type="dxa" w:w="13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50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Esp. australes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ECHIZEN MARU</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182/2025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12</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Esp. australes</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TAI AN</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184/2025</w:t>
            </w:r>
          </w:p>
        </w:tc>
        <w:tc>
          <w:tcPr>
            <w:tcW w:type="dxa" w:w="13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18</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Esp. australes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VALERIA DEL ATL.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188/2025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37</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Merluza com.</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VENTARRON 1º</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3/2026</w:t>
            </w:r>
          </w:p>
        </w:tc>
        <w:tc>
          <w:tcPr>
            <w:tcW w:type="dxa" w:w="13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3</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54</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Merluza 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ATREVIDO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4/2026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20</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Merluza com.</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JOSE MARCELO</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10/2026</w:t>
            </w:r>
          </w:p>
        </w:tc>
        <w:tc>
          <w:tcPr>
            <w:tcW w:type="dxa" w:w="13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3</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28</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Merluza 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ANITA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13/2026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17</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Merluza com.</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UR ERTZA</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18/2026</w:t>
            </w:r>
          </w:p>
        </w:tc>
        <w:tc>
          <w:tcPr>
            <w:tcW w:type="dxa" w:w="13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21</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Merluza 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VERDEL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19/2026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34</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Merluza com.</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MELLINO VI</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22/2026</w:t>
            </w:r>
          </w:p>
        </w:tc>
        <w:tc>
          <w:tcPr>
            <w:tcW w:type="dxa" w:w="13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23</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Merluza 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CERES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23/2026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27</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Merluza com.</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SAN JORGE MARTIR</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24/2026</w:t>
            </w:r>
          </w:p>
        </w:tc>
        <w:tc>
          <w:tcPr>
            <w:tcW w:type="dxa" w:w="13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19</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Merluza 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JOSE MARCELO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29/2026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10</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Merluza com.</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ARGENTINO</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36/2026</w:t>
            </w:r>
          </w:p>
        </w:tc>
        <w:tc>
          <w:tcPr>
            <w:tcW w:type="dxa" w:w="13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3</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23</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Merluza negra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ARGENOVA XXI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1/2026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47</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Merluza negra</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ARGENOVA XXI</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26/2026</w:t>
            </w:r>
          </w:p>
        </w:tc>
        <w:tc>
          <w:tcPr>
            <w:tcW w:type="dxa" w:w="13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22</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Vieira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MISS TIDE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11/2026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36</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Vieira</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CAPESANTE</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17/2026</w:t>
            </w:r>
          </w:p>
        </w:tc>
        <w:tc>
          <w:tcPr>
            <w:tcW w:type="dxa" w:w="13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41</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Vieira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CAPESANTE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186/2025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27</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Vieira</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ERIN BRUCE II</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187/2025</w:t>
            </w:r>
          </w:p>
        </w:tc>
        <w:tc>
          <w:tcPr>
            <w:tcW w:type="dxa" w:w="13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Vieira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ATLANTIC SURF III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199/2025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Finalizada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47</w:t>
            </w:r>
          </w:p>
        </w:tc>
      </w:tr>
    </w:tbl>
    <w:p>
      <w:r>
        <w:br w:type="page"/>
      </w:r>
    </w:p>
    <w:p>
      <w:pPr>
        <w:pStyle w:val="Heading1"/>
      </w:pPr>
      <w:r>
        <w:rPr>
          <w:rFonts w:ascii="Arial" w:cs="Arial" w:eastAsia="Arial" w:hAnsi="Arial"/>
          <w:b/>
          <w:bCs/>
          <w:color w:val="1B4F72"/>
          <w:sz w:val="28"/>
          <w:szCs w:val="28"/>
        </w:rPr>
        <w:t xml:space="preserve">6. MAREAS EN EJECUCIÓN</w:t>
      </w:r>
    </w:p>
    <w:p>
      <w:pPr>
        <w:spacing w:after="120"/>
      </w:pPr>
      <w:r>
        <w:rPr>
          <w:rFonts w:ascii="Arial" w:cs="Arial" w:eastAsia="Arial" w:hAnsi="Arial"/>
          <w:color w:val="2C3E50"/>
          <w:sz w:val="20"/>
          <w:szCs w:val="20"/>
        </w:rPr>
        <w:t xml:space="preserve">Al cierre del período (31 de marzo de 2026), las siguientes 20 mareas se encontraban en curso:</w:t>
      </w:r>
    </w:p>
    <w:p>
      <w:pPr>
        <w:spacing w:after="6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200"/>
        <w:gridCol w:w="1300"/>
        <w:gridCol w:w="900"/>
        <w:gridCol w:w="900"/>
      </w:tblGrid>
      <w:tr>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Pesquería</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Buque</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Marea</w:t>
            </w:r>
          </w:p>
        </w:tc>
        <w:tc>
          <w:tcPr>
            <w:tcW w:type="dxa" w:w="13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Estado</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Etapas</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Días</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Calamar</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NATALIA</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31/2026</w:t>
            </w:r>
          </w:p>
        </w:tc>
        <w:tc>
          <w:tcPr>
            <w:tcW w:type="dxa" w:w="13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En ejec.</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25</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Calamar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VIEIRASA DIECISIETE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37/2026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En ejec.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22</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Calamar</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HU SHUN YU 08</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41/2026</w:t>
            </w:r>
          </w:p>
        </w:tc>
        <w:tc>
          <w:tcPr>
            <w:tcW w:type="dxa" w:w="13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En ejec.</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15</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Calamar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NAVEGANTES III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43/2026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En ejec.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14</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Calamar</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XIN SHI JI Nº 89</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47/2026</w:t>
            </w:r>
          </w:p>
        </w:tc>
        <w:tc>
          <w:tcPr>
            <w:tcW w:type="dxa" w:w="13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En ejec.</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Centolla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ATLANTIC EXPRESS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40/2026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En ejec.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23</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Centolla</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TALISMAN</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44/2026</w:t>
            </w:r>
          </w:p>
        </w:tc>
        <w:tc>
          <w:tcPr>
            <w:tcW w:type="dxa" w:w="13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En ejec.</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15</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Centolla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TANGO 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46/2026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En ejec.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8</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Centolla</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TANGO II</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50/2026</w:t>
            </w:r>
          </w:p>
        </w:tc>
        <w:tc>
          <w:tcPr>
            <w:tcW w:type="dxa" w:w="13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En ejec.</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Esp. australes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VALERIA DEL ATL.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20/2026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En ejec.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44</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Esp. australes</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ECHIZEN MARU</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28/2026</w:t>
            </w:r>
          </w:p>
        </w:tc>
        <w:tc>
          <w:tcPr>
            <w:tcW w:type="dxa" w:w="13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En ejec.</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30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Esp. australes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TAI AN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38/2026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En ejec.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15</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Merluza com.</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DON PEDRO</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35/2026</w:t>
            </w:r>
          </w:p>
        </w:tc>
        <w:tc>
          <w:tcPr>
            <w:tcW w:type="dxa" w:w="13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En ejec.</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29</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Merluza 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PEDRITO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39/2026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En ejec.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18</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Merluza com.</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ANDRES JORGE</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49/2026</w:t>
            </w:r>
          </w:p>
        </w:tc>
        <w:tc>
          <w:tcPr>
            <w:tcW w:type="dxa" w:w="13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En ejec.</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Merluza negra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CENTURION DEL ATL.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45/2026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En ejec.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Merluza negra</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ARGENOVA XXI</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48/2026</w:t>
            </w:r>
          </w:p>
        </w:tc>
        <w:tc>
          <w:tcPr>
            <w:tcW w:type="dxa" w:w="13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En ejec.</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7</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Vieira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ATLANTIC SURF III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27/2026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En ejec.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24</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Vieira</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MISS TIDE</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32/2026</w:t>
            </w:r>
          </w:p>
        </w:tc>
        <w:tc>
          <w:tcPr>
            <w:tcW w:type="dxa" w:w="13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En ejec.</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30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Vieira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ERIN BRUCE II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34/2026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En ejec.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25</w:t>
            </w:r>
          </w:p>
        </w:tc>
      </w:tr>
    </w:tbl>
    <w:p>
      <w:pPr>
        <w:spacing w:after="200"/>
      </w:pPr>
    </w:p>
    <w:p>
      <w:pPr>
        <w:pStyle w:val="Heading1"/>
      </w:pPr>
      <w:r>
        <w:rPr>
          <w:rFonts w:ascii="Arial" w:cs="Arial" w:eastAsia="Arial" w:hAnsi="Arial"/>
          <w:b/>
          <w:bCs/>
          <w:color w:val="1B4F72"/>
          <w:sz w:val="28"/>
          <w:szCs w:val="28"/>
        </w:rPr>
        <w:t xml:space="preserve">7. OBSERVACIONES COMPLEMENTARIAS</w:t>
      </w:r>
    </w:p>
    <w:p>
      <w:pPr>
        <w:spacing w:after="120"/>
      </w:pPr>
      <w:r>
        <w:rPr>
          <w:rFonts w:ascii="Arial" w:cs="Arial" w:eastAsia="Arial" w:hAnsi="Arial"/>
          <w:b/>
          <w:bCs/>
          <w:color w:val="2C3E50"/>
          <w:sz w:val="20"/>
          <w:szCs w:val="20"/>
        </w:rPr>
        <w:t xml:space="preserve">Diversificación de pesquerías: </w:t>
      </w:r>
      <w:r>
        <w:rPr>
          <w:rFonts w:ascii="Arial" w:cs="Arial" w:eastAsia="Arial" w:hAnsi="Arial"/>
          <w:color w:val="2C3E50"/>
          <w:sz w:val="20"/>
          <w:szCs w:val="20"/>
        </w:rPr>
        <w:t xml:space="preserve">El programa mantuvo cobertura en las seis pesquerías principales. La flota de altura (congelador) concentró la mayor proporción de la actividad, aunque la flota fresquera de merluza común contribuyó con 9 mareas y 162 días, equilibrando la representación por tipo de operación.</w:t>
      </w:r>
    </w:p>
    <w:p>
      <w:pPr>
        <w:spacing w:after="120"/>
      </w:pPr>
      <w:r>
        <w:rPr>
          <w:rFonts w:ascii="Arial" w:cs="Arial" w:eastAsia="Arial" w:hAnsi="Arial"/>
          <w:b/>
          <w:bCs/>
          <w:color w:val="2C3E50"/>
          <w:sz w:val="20"/>
          <w:szCs w:val="20"/>
        </w:rPr>
        <w:t xml:space="preserve">Continuidad operativa: </w:t>
      </w:r>
      <w:r>
        <w:rPr>
          <w:rFonts w:ascii="Arial" w:cs="Arial" w:eastAsia="Arial" w:hAnsi="Arial"/>
          <w:color w:val="2C3E50"/>
          <w:sz w:val="20"/>
          <w:szCs w:val="20"/>
        </w:rPr>
        <w:t xml:space="preserve">Se registraron mareas provenientes del año 2025 que extendieron su navegación al primer trimestre 2026 (identificadas con numeración de marea del ciclo anterior). Esto refleja la naturaleza continua de la operación pesquera y la adecuada transición entre períodos.</w:t>
      </w:r>
    </w:p>
    <w:p>
      <w:pPr>
        <w:spacing w:after="120"/>
      </w:pPr>
      <w:r>
        <w:rPr>
          <w:rFonts w:ascii="Arial" w:cs="Arial" w:eastAsia="Arial" w:hAnsi="Arial"/>
          <w:b/>
          <w:bCs/>
          <w:color w:val="2C3E50"/>
          <w:sz w:val="20"/>
          <w:szCs w:val="20"/>
        </w:rPr>
        <w:t xml:space="preserve">Rotación de personal: </w:t>
      </w:r>
      <w:r>
        <w:rPr>
          <w:rFonts w:ascii="Arial" w:cs="Arial" w:eastAsia="Arial" w:hAnsi="Arial"/>
          <w:color w:val="2C3E50"/>
          <w:sz w:val="20"/>
          <w:szCs w:val="20"/>
        </w:rPr>
        <w:t xml:space="preserve">El 56% de los observadores (27 de 48) participó en más de una marea durante el trimestre, lo que indica una adecuada rotación y aprovechamiento de la dotación disponible.</w:t>
      </w:r>
    </w:p>
    <w:p>
      <w:pPr>
        <w:spacing w:after="120"/>
      </w:pPr>
      <w:r>
        <w:rPr>
          <w:rFonts w:ascii="Arial" w:cs="Arial" w:eastAsia="Arial" w:hAnsi="Arial"/>
          <w:b/>
          <w:bCs/>
          <w:color w:val="2C3E50"/>
          <w:sz w:val="20"/>
          <w:szCs w:val="20"/>
        </w:rPr>
        <w:t xml:space="preserve">Carga de trabajo: </w:t>
      </w:r>
      <w:r>
        <w:rPr>
          <w:rFonts w:ascii="Arial" w:cs="Arial" w:eastAsia="Arial" w:hAnsi="Arial"/>
          <w:color w:val="2C3E50"/>
          <w:sz w:val="20"/>
          <w:szCs w:val="20"/>
        </w:rPr>
        <w:t xml:space="preserve">El observador con mayor cantidad de días embarcado (81 días) duplicó el promedio general (38 días). Se recomienda monitorear la distribución de carga para optimizar la equidad en las asignaciones futuras.</w:t>
      </w:r>
    </w:p>
    <w:sectPr>
      <w:headerReference w:type="default" r:id="rId6"/>
      <w:footerReference w:type="default" r:id="rId7"/>
      <w:pgSz w:w="11906" w:h="16838"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2C3E50"/>
        <w:sz w:val="16"/>
        <w:szCs w:val="16"/>
      </w:rPr>
      <w:t xml:space="preserve">Página </w:t>
    </w:r>
    <w:r>
      <w:rPr>
        <w:rFonts w:ascii="Arial" w:cs="Arial" w:eastAsia="Arial" w:hAnsi="Arial"/>
        <w:color w:val="2C3E5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DADE2" w:sz="2" w:space="4"/>
      </w:pBdr>
      <w:tabs>
        <w:tab w:val="right" w:pos="9026"/>
      </w:tabs>
    </w:pPr>
    <w:r>
      <w:rPr>
        <w:rFonts w:ascii="Arial" w:cs="Arial" w:eastAsia="Arial" w:hAnsi="Arial"/>
        <w:i/>
        <w:iCs/>
        <w:color w:val="2E86C1"/>
        <w:sz w:val="16"/>
        <w:szCs w:val="16"/>
      </w:rPr>
      <w:t xml:space="preserve">INIDEP — Programa Observadores a Bordo</w:t>
    </w:r>
    <w:r>
      <w:rPr>
        <w:rFonts w:ascii="Arial" w:cs="Arial" w:eastAsia="Arial" w:hAnsi="Arial"/>
        <w:i/>
        <w:iCs/>
        <w:color w:val="2E86C1"/>
        <w:sz w:val="16"/>
        <w:szCs w:val="16"/>
      </w:rPr>
      <w:t xml:space="preserve">	1er Trimestre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5DADE2" w:sz="6" w:space="4"/>
      </w:pBdr>
      <w:spacing w:before="300" w:after="150"/>
      <w:outlineLvl w:val="0"/>
    </w:pPr>
    <w:rPr>
      <w:rFonts w:ascii="Arial" w:cs="Arial" w:eastAsia="Arial" w:hAnsi="Arial"/>
      <w:b/>
      <w:bCs/>
      <w:color w:val="1B4F72"/>
      <w:sz w:val="28"/>
      <w:szCs w:val="28"/>
    </w:rPr>
  </w:style>
  <w:style w:type="paragraph" w:styleId="Heading2">
    <w:name w:val="Heading 2"/>
    <w:basedOn w:val="Normal"/>
    <w:next w:val="Normal"/>
    <w:qFormat/>
    <w:pPr>
      <w:spacing w:before="200" w:after="120"/>
      <w:outlineLvl w:val="1"/>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0d921a10c8a622af84ea3dd6643ee272981f9d6.png"/><Relationship Id="rId9" Type="http://schemas.openxmlformats.org/officeDocument/2006/relationships/image" Target="media/415bef53ba849e071af14661b29aab720acd4aaa.png"/><Relationship Id="rId10" Type="http://schemas.openxmlformats.org/officeDocument/2006/relationships/image" Target="media/959303ef262bdea485b2940755656b5256c250fa.png"/><Relationship Id="rId11" Type="http://schemas.openxmlformats.org/officeDocument/2006/relationships/image" Target="media/a741e848302e0e468357afb008dab78971ea8686.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2026-03-28T22:41:16.225Z</dcterms:created>
  <dcterms:modified xsi:type="dcterms:W3CDTF">2026-03-28T22:41:16.226Z</dcterms:modified>
</cp:coreProperties>
</file>

<file path=docProps/custom.xml><?xml version="1.0" encoding="utf-8"?>
<Properties xmlns="http://schemas.openxmlformats.org/officeDocument/2006/custom-properties" xmlns:vt="http://schemas.openxmlformats.org/officeDocument/2006/docPropsVTypes"/>
</file>