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OJO DE UN SOLO COLOR</w:t>
      </w:r>
    </w:p>
    <w:p>
      <w:pPr>
        <w:spacing w:before="0" w:after="400"/>
        <w:jc w:val="center"/>
      </w:pPr>
      <w:r>
        <w:rPr>
          <w:b w:val="0"/>
          <w:i w:val="0"/>
          <w:sz w:val="26"/>
        </w:rPr>
        <w:t>Íñigo Barrera Barceló</w:t>
      </w:r>
    </w:p>
    <w:p>
      <w:pPr>
        <w:spacing w:before="0" w:after="0"/>
        <w:jc w:val="center"/>
      </w:pPr>
      <w:r>
        <w:rPr>
          <w:b w:val="0"/>
          <w:i/>
          <w:sz w:val="20"/>
        </w:rPr>
        <w:t>Un solo movimiento sobre el horizonte colectivo,</w:t>
      </w:r>
    </w:p>
    <w:p>
      <w:pPr>
        <w:spacing w:before="0" w:after="0"/>
        <w:jc w:val="center"/>
      </w:pPr>
      <w:r>
        <w:rPr>
          <w:b w:val="0"/>
          <w:i/>
          <w:sz w:val="20"/>
        </w:rPr>
        <w:t>desprendido de El horizonte interior</w:t>
      </w:r>
    </w:p>
    <w:p>
      <w:r>
        <w:br w:type="page"/>
      </w:r>
    </w:p>
    <w:p>
      <w:pPr>
        <w:spacing w:before="360" w:after="240"/>
      </w:pPr>
      <w:r>
        <w:rPr>
          <w:b/>
          <w:i w:val="0"/>
          <w:sz w:val="30"/>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jc w:val="center"/>
      </w:pPr>
      <w:r>
        <w:rPr>
          <w:i/>
        </w:rPr>
        <w:t>· · ·</w:t>
      </w:r>
    </w:p>
    <w:p>
      <w:pPr>
        <w:spacing w:before="360" w:after="240"/>
      </w:pPr>
      <w:r>
        <w:rPr>
          <w:b/>
          <w:i w:val="0"/>
          <w:sz w:val="30"/>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Eso ya quedó dicho en otro capítulo, a propósito de la religión y el fanatismo. Lo que este movimiento pregunta es qué ocurre cuando la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Otro capítulo de este libro tomó prestado del diseño de software un vocabulario para distinguir tipos de vínculo, y ese vocabulario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exactamente la arquitectura del fanatismo descrita en otro capítulo,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—descrito en otro movimiento de esta serie—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según quedó establecido en otro capítulo,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jc w:val="center"/>
      </w:pPr>
      <w:r>
        <w:rPr>
          <w:i/>
        </w:rPr>
        <w:t>· · ·</w:t>
      </w:r>
    </w:p>
    <w:p>
      <w:pPr>
        <w:spacing w:before="280" w:after="160"/>
      </w:pPr>
      <w:r>
        <w:rPr>
          <w:b/>
          <w:i w:val="0"/>
          <w:sz w:val="25"/>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jc w:val="center"/>
      </w:pPr>
      <w:r>
        <w:rPr>
          <w:i/>
        </w:rPr>
        <w:t>· · ·</w:t>
      </w:r>
    </w:p>
    <w:p>
      <w:pPr>
        <w:spacing w:before="360" w:after="240"/>
      </w:pPr>
      <w:r>
        <w:rPr>
          <w:b/>
          <w:i w:val="0"/>
          <w:sz w:val="30"/>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jc w:val="center"/>
      </w:pPr>
      <w:r>
        <w:rPr>
          <w:i/>
        </w:rPr>
        <w:t>· · ·</w:t>
      </w:r>
    </w:p>
    <w:p>
      <w:pPr>
        <w:spacing w:before="360" w:after="240"/>
      </w:pPr>
      <w:r>
        <w:rPr>
          <w:b/>
          <w:i w:val="0"/>
          <w:sz w:val="30"/>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80" w:after="160"/>
      </w:pPr>
      <w:r>
        <w:rPr>
          <w:b/>
          <w:i w:val="0"/>
          <w:sz w:val="25"/>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80" w:after="160"/>
      </w:pPr>
      <w:r>
        <w:rPr>
          <w:b/>
          <w:i w:val="0"/>
          <w:sz w:val="25"/>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80" w:after="160"/>
      </w:pPr>
      <w:r>
        <w:rPr>
          <w:b/>
          <w:i w:val="0"/>
          <w:sz w:val="25"/>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80" w:after="160"/>
      </w:pPr>
      <w:r>
        <w:rPr>
          <w:b/>
          <w:i w:val="0"/>
          <w:sz w:val="25"/>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80" w:after="160"/>
      </w:pPr>
      <w:r>
        <w:rPr>
          <w:b/>
          <w:i w:val="0"/>
          <w:sz w:val="25"/>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jc w:val="center"/>
      </w:pPr>
      <w:r>
        <w:rPr>
          <w:i/>
        </w:rPr>
        <w:t>· · ·</w:t>
      </w:r>
    </w:p>
    <w:p>
      <w:pPr>
        <w:spacing w:before="360" w:after="240"/>
      </w:pPr>
      <w:r>
        <w:rPr>
          <w:b/>
          <w:i w:val="0"/>
          <w:sz w:val="30"/>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jc w:val="center"/>
      </w:pPr>
      <w:r>
        <w:rPr>
          <w:i/>
        </w:rPr>
        <w:t>· · ·</w:t>
      </w:r>
    </w:p>
    <w:p>
      <w:pPr>
        <w:spacing w:before="360" w:after="240"/>
      </w:pPr>
      <w:r>
        <w:rPr>
          <w:b/>
          <w:i w:val="0"/>
          <w:sz w:val="30"/>
        </w:rPr>
        <w:t>Glosario mínimo</w:t>
      </w:r>
    </w:p>
    <w:p>
      <w:pPr>
        <w:spacing w:after="160"/>
        <w:jc w:val="both"/>
      </w:pPr>
      <w:r>
        <w:rPr>
          <w:b w:val="0"/>
          <w:i w:val="0"/>
          <w:sz w:val="22"/>
        </w:rPr>
        <w:t>Horizonte colectivo. El «nosotros» que se condensa cuando muchos horizontes individuales adoptan la misma idea como principio organizador.</w:t>
      </w:r>
    </w:p>
    <w:p>
      <w:pPr>
        <w:spacing w:after="160"/>
        <w:jc w:val="both"/>
      </w:pPr>
      <w:r>
        <w:rPr>
          <w:b w:val="0"/>
          <w:i w:val="0"/>
          <w:sz w:val="22"/>
        </w:rPr>
        <w:t>Condensación de movimiento. La transición de fase discontinua por la que un malestar disperso se congela, de golpe, en una frontera con nombre.</w:t>
      </w:r>
    </w:p>
    <w:p>
      <w:pPr>
        <w:spacing w:after="160"/>
        <w:jc w:val="both"/>
      </w:pPr>
      <w:r>
        <w:rPr>
          <w:b w:val="0"/>
          <w:i w:val="0"/>
          <w:sz w:val="22"/>
        </w:rPr>
        <w:t>Agregación (política). Pertenencia que no compromete la supervivencia del individuo si la estructura a la que pertenece se disuelve.</w:t>
      </w:r>
    </w:p>
    <w:p>
      <w:pPr>
        <w:spacing w:after="160"/>
        <w:jc w:val="both"/>
      </w:pPr>
      <w:r>
        <w:rPr>
          <w:b w:val="0"/>
          <w:i w:val="0"/>
          <w:sz w:val="22"/>
        </w:rPr>
        <w:t>Composición (política). Pertenencia que sí la compromete: perder el grupo se siente como perder una parte de uno mismo.</w:t>
      </w:r>
    </w:p>
    <w:p>
      <w:pPr>
        <w:spacing w:after="160"/>
        <w:jc w:val="both"/>
      </w:pPr>
      <w:r>
        <w:rPr>
          <w:b w:val="0"/>
          <w:i w:val="0"/>
          <w:sz w:val="22"/>
        </w:rPr>
        <w:t>Fanatismo. La captura de la frontera propia por una idea, hasta el punto de que dudarla se siente como morir un poco.</w:t>
      </w:r>
    </w:p>
    <w:p>
      <w:pPr>
        <w:spacing w:after="160"/>
        <w:jc w:val="both"/>
      </w:pPr>
      <w:r>
        <w:rPr>
          <w:b w:val="0"/>
          <w:i w:val="0"/>
          <w:sz w:val="22"/>
        </w:rPr>
        <w:t>Sacralizar al vecino. Tratar un horizonte horizontal —humano, corregible, revisable— con la intransigencia que solo debería reservarse para lo que se declara, desde el origen, incuestionable.</w:t>
      </w:r>
    </w:p>
    <w:p>
      <w:pPr>
        <w:jc w:val="center"/>
      </w:pPr>
      <w:r>
        <w:rPr>
          <w:i/>
        </w:rPr>
        <w:t>· · ·</w:t>
      </w:r>
    </w:p>
    <w:p>
      <w:pPr>
        <w:spacing w:before="360" w:after="240"/>
      </w:pPr>
      <w:r>
        <w:rPr>
          <w:b/>
          <w:i w:val="0"/>
          <w:sz w:val="30"/>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