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continúa"/>
    <w:p>
      <w:pPr>
        <w:pStyle w:val="Heading3"/>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3"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2"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arriba, en la linterna, debajo de la lámpara. El mismo donde Ada había encerrado el cuaderno con candado. Ya no tenía candado.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Creo que ya entonces sabía que algún día iba a querer hacer esto.</w:t>
      </w:r>
    </w:p>
    <w:p>
      <w:r>
        <w:pict>
          <v:rect style="width:0;height:1.5pt" o:hralign="center" o:hrstd="t" o:hr="t"/>
        </w:pict>
      </w:r>
    </w:p>
    <w:p>
      <w:pPr>
        <w:pStyle w:val="FirstParagraph"/>
      </w:pPr>
      <w:r>
        <w:t xml:space="preserve">El grupo auxiliar de la lámpara estaba en la caseta de atrás. No el pequeño de la casa, el que Ada enciende cada vez que se va la luz: el otro, el grande, el que nadie había arrancado desde el ochenta y siete.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le había quitado la funda la semana anterior, para enseñármela.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Lo miré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Cincuenta y tres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Seguí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2026-10-10T14:39:55Z</dcterms:created>
  <dcterms:modified xsi:type="dcterms:W3CDTF">2026-10-10T14:39:55Z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