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cinco paradojas del tiempo</w:t>
      </w:r>
    </w:p>
    <w:p>
      <w:pPr>
        <w:spacing w:after="200" w:before="0" w:line="340"/>
      </w:pPr>
      <w:r>
        <w:rPr>
          <w:rFonts w:ascii="Garamond" w:cs="Garamond" w:eastAsia="Garamond" w:hAnsi="Garamond"/>
          <w:b w:val="false"/>
          <w:bCs w:val="false"/>
          <w:i w:val="false"/>
          <w:iCs w:val="false"/>
          <w:sz w:val="24"/>
          <w:szCs w:val="24"/>
        </w:rPr>
        <w:t>Cinco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200" w:before="0" w:line="340"/>
      </w:pPr>
      <w:r>
        <w:rPr>
          <w:rFonts w:ascii="Garamond" w:cs="Garamond" w:eastAsia="Garamond" w:hAnsi="Garamond"/>
          <w:b w:val="false"/>
          <w:bCs w:val="false"/>
          <w:i w:val="false"/>
          <w:iCs w:val="false"/>
          <w:sz w:val="24"/>
          <w:szCs w:val="24"/>
        </w:rPr>
        <w:t xml:space="preserve">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200" w:before="0" w:line="340"/>
      </w:pPr>
      <w:r>
        <w:rPr>
          <w:rFonts w:ascii="Garamond" w:cs="Garamond" w:eastAsia="Garamond" w:hAnsi="Garamond"/>
          <w:b w:val="false"/>
          <w:bCs w:val="false"/>
          <w:i w:val="false"/>
          <w:iCs w:val="false"/>
          <w:sz w:val="24"/>
          <w:szCs w:val="24"/>
        </w:rPr>
        <w:t xml:space="preserve">El resto de este capítulo ha hablado de física y de ficción. La última lectura no necesita ninguna de las dos: solo un balón, un campo, y setenta años de gente real jugando la misma idea.</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