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E74B5"/>
          <w:sz w:val="21"/>
        </w:rPr>
        <w:t>阶段性建设规划 | 汇报稿</w:t>
      </w:r>
    </w:p>
    <w:p>
      <w:pPr>
        <w:pStyle w:val="Title"/>
      </w:pPr>
      <w:r>
        <w:rPr>
          <w:rFonts w:ascii="Calibri" w:hAnsi="Calibri" w:eastAsia="Microsoft YaHei"/>
          <w:b/>
          <w:color w:val="111827"/>
          <w:sz w:val="48"/>
        </w:rPr>
        <w:t>AI Interviewer S1-S2</w:t>
        <w:br/>
        <w:t>后续建设计划</w:t>
      </w:r>
    </w:p>
    <w:p>
      <w:pPr>
        <w:pStyle w:val="Subtitle"/>
      </w:pPr>
      <w:r>
        <w:rPr>
          <w:rFonts w:ascii="Calibri" w:hAnsi="Calibri" w:eastAsia="Microsoft YaHei"/>
          <w:color w:val="667085"/>
          <w:sz w:val="26"/>
        </w:rPr>
        <w:t>从面试专业化升级到职业发展服务闭环</w:t>
      </w:r>
    </w:p>
    <w:p>
      <w:pPr>
        <w:pStyle w:val="Metadata"/>
      </w:pPr>
      <w:r>
        <w:rPr>
          <w:rFonts w:ascii="Calibri" w:hAnsi="Calibri" w:eastAsia="Microsoft YaHei"/>
          <w:b/>
          <w:color w:val="111827"/>
          <w:sz w:val="21"/>
        </w:rPr>
        <w:t>项目阶段：</w:t>
      </w:r>
      <w:r>
        <w:rPr>
          <w:rFonts w:ascii="Calibri" w:hAnsi="Calibri" w:eastAsia="Microsoft YaHei"/>
          <w:color w:val="1F2937"/>
          <w:sz w:val="21"/>
        </w:rPr>
        <w:t>S1 优化方案正在实施，S2 为后续规划</w:t>
      </w:r>
    </w:p>
    <w:p>
      <w:pPr>
        <w:pStyle w:val="Metadata"/>
      </w:pPr>
      <w:r>
        <w:rPr>
          <w:rFonts w:ascii="Calibri" w:hAnsi="Calibri" w:eastAsia="Microsoft YaHei"/>
          <w:b/>
          <w:color w:val="111827"/>
          <w:sz w:val="21"/>
        </w:rPr>
        <w:t>规划范围：</w:t>
      </w:r>
      <w:r>
        <w:rPr>
          <w:rFonts w:ascii="Calibri" w:hAnsi="Calibri" w:eastAsia="Microsoft YaHei"/>
          <w:color w:val="1F2937"/>
          <w:sz w:val="21"/>
        </w:rPr>
        <w:t>S1 面试策略与证据引擎；S2 职业测评、AI 职业规划与简历优化</w:t>
      </w:r>
    </w:p>
    <w:p>
      <w:pPr>
        <w:pStyle w:val="Metadata"/>
      </w:pPr>
      <w:r>
        <w:rPr>
          <w:rFonts w:ascii="Calibri" w:hAnsi="Calibri" w:eastAsia="Microsoft YaHei"/>
          <w:b/>
          <w:color w:val="111827"/>
          <w:sz w:val="21"/>
        </w:rPr>
        <w:t>推进方式：</w:t>
      </w:r>
      <w:r>
        <w:rPr>
          <w:rFonts w:ascii="Calibri" w:hAnsi="Calibri" w:eastAsia="Microsoft YaHei"/>
          <w:color w:val="1F2937"/>
          <w:sz w:val="21"/>
        </w:rPr>
        <w:t>以里程碑验收为主，具体日期根据 S1 进度与资源安排确定</w:t>
      </w:r>
    </w:p>
    <w:p>
      <w:pPr>
        <w:pStyle w:val="Metadata"/>
      </w:pPr>
      <w:r>
        <w:rPr>
          <w:rFonts w:ascii="Calibri" w:hAnsi="Calibri" w:eastAsia="Microsoft YaHei"/>
          <w:b/>
          <w:color w:val="111827"/>
          <w:sz w:val="21"/>
        </w:rPr>
        <w:t>文档版本：</w:t>
      </w:r>
      <w:r>
        <w:rPr>
          <w:rFonts w:ascii="Calibri" w:hAnsi="Calibri" w:eastAsia="Microsoft YaHei"/>
          <w:color w:val="1F2937"/>
          <w:sz w:val="21"/>
        </w:rPr>
        <w:t>V1.0</w:t>
      </w:r>
    </w:p>
    <w:p>
      <w:pPr>
        <w:pStyle w:val="Metadata"/>
      </w:pPr>
      <w:r>
        <w:rPr>
          <w:rFonts w:ascii="Calibri" w:hAnsi="Calibri" w:eastAsia="Microsoft YaHei"/>
          <w:b/>
          <w:color w:val="111827"/>
          <w:sz w:val="21"/>
        </w:rPr>
        <w:t>汇报日期：</w:t>
      </w:r>
      <w:r>
        <w:rPr>
          <w:rFonts w:ascii="Calibri" w:hAnsi="Calibri" w:eastAsia="Microsoft YaHei"/>
          <w:color w:val="1F2937"/>
          <w:sz w:val="21"/>
        </w:rPr>
        <w:t>2026年7月17日</w:t>
      </w:r>
    </w:p>
    <w:p>
      <w:pPr>
        <w:spacing w:after="200"/>
      </w:pPr>
    </w:p>
    <w:p>
      <w:pPr>
        <w:keepLines/>
        <w:spacing w:before="120" w:after="160" w:line="264" w:lineRule="auto"/>
        <w:ind w:left="160" w:right="160"/>
        <w:shd w:val="clear" w:fill="EAF1F8"/>
        <w:pBdr>
          <w:top w:val="single" w:sz="8" w:space="5" w:color="2E74B5"/>
          <w:left w:val="single" w:sz="8" w:space="5" w:color="2E74B5"/>
          <w:bottom w:val="single" w:sz="8" w:space="5" w:color="2E74B5"/>
          <w:right w:val="single" w:sz="8" w:space="5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核心结论：</w:t>
      </w:r>
      <w:r>
        <w:rPr>
          <w:rFonts w:ascii="Calibri" w:hAnsi="Calibri" w:eastAsia="Microsoft YaHei"/>
          <w:color w:val="1F2937"/>
          <w:sz w:val="21"/>
        </w:rPr>
        <w:t>后续建设分两个连续阶段推进：S1 先完成 AI 面试官的专业判断、证据评估与训练闭环；S2 再将测评结果、简历信息、目标岗位和 S1 面试证据整合为职业画像，形成职业倾向报告、职业发展计划和可追溯的简历优化建议。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</w:rPr>
        <w:t>一、项目背景与总体目标</w:t>
      </w:r>
    </w:p>
    <w:p>
      <w:r>
        <w:rPr>
          <w:rFonts w:ascii="Calibri" w:hAnsi="Calibri" w:eastAsia="Microsoft YaHei"/>
          <w:i w:val="0"/>
          <w:color w:val="1F2937"/>
        </w:rPr>
        <w:t>AI Interviewer 已在 S0 阶段形成从用户登录、简历解析、候选人画像、面试方案、AI 提问与追问、评分到报告输出的基础闭环。后续建设不再以简单增加外围功能为主，而是分阶段提升面试质量，并逐步向职业发展服务延伸。</w:t>
      </w:r>
    </w:p>
    <w:p>
      <w:r>
        <w:rPr>
          <w:rFonts w:ascii="Calibri" w:hAnsi="Calibri" w:eastAsia="Microsoft YaHei"/>
          <w:i w:val="0"/>
          <w:color w:val="1F2937"/>
        </w:rPr>
        <w:t>总体演进路径为：S1 解决“面试是否专业、判断是否可信、训练是否有效”的问题；S2 解决“用户适合什么方向、如何规划发展、如何提高求职材料匹配度”的问题。两个阶段共享用户画像、简历、岗位知识、能力证据和训练记录，最终形成贯穿测评、规划、准备、面试与复盘的个人职业发展闭环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1.1 阶段定位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877"/>
        <w:gridCol w:w="1510"/>
        <w:gridCol w:w="2485"/>
        <w:gridCol w:w="4248"/>
      </w:tblGrid>
      <w:tr>
        <w:trPr>
          <w:tblHeader w:val="true"/>
          <w:cantSplit/>
        </w:trPr>
        <w:tc>
          <w:tcPr>
            <w:tcW w:type="dxa" w:w="877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阶段</w:t>
            </w:r>
          </w:p>
        </w:tc>
        <w:tc>
          <w:tcPr>
            <w:tcW w:type="dxa" w:w="1510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当前状态</w:t>
            </w:r>
          </w:p>
        </w:tc>
        <w:tc>
          <w:tcPr>
            <w:tcW w:type="dxa" w:w="2485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建设主题</w:t>
            </w:r>
          </w:p>
        </w:tc>
        <w:tc>
          <w:tcPr>
            <w:tcW w:type="dxa" w:w="4248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核心产出</w:t>
            </w:r>
          </w:p>
        </w:tc>
      </w:tr>
      <w:tr>
        <w:trPr>
          <w:cantSplit/>
        </w:trPr>
        <w:tc>
          <w:tcPr>
            <w:tcW w:type="dxa" w:w="8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S0</w:t>
            </w:r>
          </w:p>
        </w:tc>
        <w:tc>
          <w:tcPr>
            <w:tcW w:type="dxa" w:w="1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已形成基础闭环</w:t>
            </w:r>
          </w:p>
        </w:tc>
        <w:tc>
          <w:tcPr>
            <w:tcW w:type="dxa" w:w="24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结构化模拟面试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简历解析、面试流程、评分与基础报告</w:t>
            </w:r>
          </w:p>
        </w:tc>
      </w:tr>
      <w:tr>
        <w:trPr>
          <w:cantSplit/>
        </w:trPr>
        <w:tc>
          <w:tcPr>
            <w:tcW w:type="dxa" w:w="877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S1</w:t>
            </w:r>
          </w:p>
        </w:tc>
        <w:tc>
          <w:tcPr>
            <w:tcW w:type="dxa" w:w="1510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正在实施</w:t>
            </w:r>
          </w:p>
        </w:tc>
        <w:tc>
          <w:tcPr>
            <w:tcW w:type="dxa" w:w="2485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面试策略与证据引擎</w:t>
            </w:r>
          </w:p>
        </w:tc>
        <w:tc>
          <w:tcPr>
            <w:tcW w:type="dxa" w:w="4248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专业追问、逻辑分析、证据评分、动态场景、复盘训练</w:t>
            </w:r>
          </w:p>
        </w:tc>
      </w:tr>
      <w:tr>
        <w:trPr>
          <w:cantSplit/>
        </w:trPr>
        <w:tc>
          <w:tcPr>
            <w:tcW w:type="dxa" w:w="8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S2</w:t>
            </w:r>
          </w:p>
        </w:tc>
        <w:tc>
          <w:tcPr>
            <w:tcW w:type="dxa" w:w="1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后续规划</w:t>
            </w:r>
          </w:p>
        </w:tc>
        <w:tc>
          <w:tcPr>
            <w:tcW w:type="dxa" w:w="24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职业发展决策支持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霍兰德/MBTI 测评、职业倾向报告、职业规划、简历优化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1.2 总体建设目标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专业化：让 AI 面试官具备岗位知识、主张验证、逻辑分析、追问规划和场景推演能力。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可信化：将评分从模型主观判断升级为证据驱动评价，做到结论可解释、可追溯、可复核。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体系化：将面试后的报告、分支重答、专项训练和复试验证串联起来，形成持续训练闭环。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职业化：在 S2 中加入职业兴趣与人格偏好测评，并结合简历、目标岗位和面试证据输出职业发展建议。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可控化：测评计分、关键规则和版本快照采用确定性实现；AI 只负责解释、生成和交互，不修改原始结果，不虚构用户经历。</w:t>
      </w:r>
    </w:p>
    <w:p>
      <w:pPr>
        <w:keepLines/>
        <w:spacing w:before="120" w:after="160" w:line="264" w:lineRule="auto"/>
        <w:ind w:left="160" w:right="160"/>
        <w:shd w:val="clear" w:fill="FFF8E6"/>
        <w:pBdr>
          <w:top w:val="single" w:sz="8" w:space="5" w:color="8A6512"/>
          <w:left w:val="single" w:sz="8" w:space="5" w:color="8A6512"/>
          <w:bottom w:val="single" w:sz="8" w:space="5" w:color="8A6512"/>
          <w:right w:val="single" w:sz="8" w:space="5" w:color="8A6512"/>
        </w:pBdr>
      </w:pPr>
      <w:r>
        <w:rPr>
          <w:rFonts w:ascii="Calibri" w:hAnsi="Calibri" w:eastAsia="Microsoft YaHei"/>
          <w:b/>
          <w:color w:val="8A6512"/>
          <w:sz w:val="21"/>
        </w:rPr>
        <w:t>版本边界：</w:t>
      </w:r>
      <w:r>
        <w:rPr>
          <w:rFonts w:ascii="Calibri" w:hAnsi="Calibri" w:eastAsia="Microsoft YaHei"/>
          <w:color w:val="1F2937"/>
          <w:sz w:val="21"/>
        </w:rPr>
        <w:t>S1 聚焦“如何更专业地面试与训练”；S2 聚焦“如何认识职业倾向并制定行动方案”。S2 不改变 S1 的核心验收目标，也不以新增测评功能挤占 S1 的关键实施资源。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</w:rPr>
        <w:t>二、S1 建设计划：面试策略与证据引擎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2.1 阶段定位与建设目标</w:t>
      </w:r>
    </w:p>
    <w:p>
      <w:r>
        <w:rPr>
          <w:rFonts w:ascii="Calibri" w:hAnsi="Calibri" w:eastAsia="Microsoft YaHei"/>
          <w:i w:val="0"/>
          <w:color w:val="1F2937"/>
        </w:rPr>
        <w:t>S1 是当前正在实施的核心优化阶段。其目标是将产品从“基于大模型的结构化模拟面试工具”升级为“基于岗位知识、主张验证、逻辑分析、场景推演和证据积累的智能面试训练系统”。S1 的重点不是让问题更多或语气更强，而是让每个问题都有验证目标、每个评价都有证据来源、每次复盘都能转化为后续训练任务。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2.2 核心建设事项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岗位领域知识包（DomainPack）：沉淀能力模型、岗位指标、典型场景、常见事故、追问框架和评价标准，为 AI 提供岗位与行业知识基础。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主张提取与逻辑链分析：从回答中识别事实、指标、个人贡献、决策、因果和结果，并判断基线、过程、取舍、验证方式等逻辑缺口。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追问策略规划：先确定目标主张、验证目的、预期证据和压力等级，再生成自然语言问题，减少泛化追问和流程化走过场。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跨轮一致性检查：对历史主张进行检索与比较，发现潜在矛盾后先澄清、再判定，避免直接做负面人格判断。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证据链评分：逐轮积累正向、负向和证据不足信号，将能力分数与置信度分离，并支持从报告跳转到对应问答。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压力控制与情境沙盘：以真实约束、资源变化、故障事件和决策冲突提升面试真实性，保证高压不等于冒犯或无意义刁难。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面试官角色与问题质量审查：角色仅改变表达方式，不改变评分标准；问题输出前检查岗位相关性、重复性、事实边界和可评估性。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报告、分支复盘与训练闭环：增强报告的证据、逻辑、一致性与场景分析，支持从历史检查点重新回答并对比改进效果。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稳定性与成本控制：为结构化输出、节点失败、上下文压缩和模型调用频率设置校验、降级与重试边界，避免工作流过度脆弱。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2.3 分阶段实施安排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S1-1 领域知识与主张验证：完成 DomainPack、主张提取、主张台账、追问规划和问题渲染，先解决“问什么、为什么追问”的问题。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S1-2 逻辑链与证据评分：完成逻辑缺口分析、逐轮证据采集、证据台账和评分置信度，解决“如何评价、依据是什么”的问题。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S1-3 跨轮一致性验证：完成历史主张比较、潜在矛盾澄清和延迟验证调度，提升跨阶段交叉验证能力。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S1-4 压力控制与动态场景：完成压力阶梯、情境状态、事件注入和决策后果演进，提升真实问题处理能力。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S1-5 Persona 与质量审查：完成面试官角色渲染、问题质量门禁和协作型能力证据，提升交互真实性和输出稳定性。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S1-6 报告、分支复盘和训练闭环：完成证据化报告、问答跳转、分支重答、局部对比和专项训练建议，打通面试后的提升路径。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2.4 S1 关键交付与验收口径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每个追问能够关联明确主张、能力缺口或场景目标，不连续生成重复的通用问题。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面试方案绑定版本化 DomainPack，知识包升级不影响已创建或进行中的面试快照。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每个核心评分至少关联一条证据，报告同时显示分数、置信度和证据来源。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潜在矛盾必须经过澄清流程，证据不足不得直接等同于能力不足。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情境变量结构化保存，候选人的选择能够影响后续事件，高压模式不出现攻击性表达。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新增分析节点出现单点失败时可以降级，不能导致整场面试中断；旧检查点具备迁移或明确拒绝恢复提示。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报告能够支持关键问答跳转、分支重答和改进前后对比，形成可执行的专项训练建议。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</w:rPr>
        <w:t>三、S2 建设计划：职业测评、职业规划与简历优化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3.1 阶段定位与建设目标</w:t>
      </w:r>
    </w:p>
    <w:p>
      <w:r>
        <w:rPr>
          <w:rFonts w:ascii="Calibri" w:hAnsi="Calibri" w:eastAsia="Microsoft YaHei"/>
          <w:i w:val="0"/>
          <w:color w:val="1F2937"/>
        </w:rPr>
        <w:t>S2 在 S1 核心能力稳定后启动，产品定位由“智能面试训练系统”进一步扩展为“个人职业发展决策支持工具”。S2 不是孤立增加两个问卷和一个简历改写入口，而是以统一职业画像为中心，将测评偏好、简历经历、目标岗位、用户约束和 S1 面试证据进行整合，输出可解释、可执行、可持续修订的职业发展方案。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3.2 职业测评与职业倾向报告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统一测评平台：建设题库版本、量表定义、答题会话、断点续答、计分规则、结果快照和报告记录，确保同一版本、同一答案得到一致结果。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霍兰德职业兴趣问卷：围绕 RIASEC 六类职业兴趣形成维度得分、前三代码、兴趣组合、偏好工作环境和可探索职业方向。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MBTI 人格偏好问卷：围绕四组偏好维度输出倾向结果及强弱程度，用于描述信息获取、决策和协作偏好，不作能力高低判断。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职业倾向综合报告：分别呈现单项测评结果，并结合简历、目标岗位和个人约束形成综合解读，明确优势环境、潜在冲突、岗位方向与后续验证建议。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结果解释边界：兴趣和人格偏好仅作为自我探索与规划输入，不作为临床诊断、人才淘汰或职业命运的确定性结论；报告需展示方法说明与使用限制。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题库与量表合规：正式发布前完成题目来源、版权、授权、商标和解释口径审查，优先采用自研或已获授权的题目，不直接复制受保护的商业量表。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3.3 AI 职业规划</w:t>
      </w:r>
    </w:p>
    <w:p>
      <w:r>
        <w:rPr>
          <w:rFonts w:ascii="Calibri" w:hAnsi="Calibri" w:eastAsia="Microsoft YaHei"/>
          <w:i w:val="0"/>
          <w:color w:val="1F2937"/>
        </w:rPr>
        <w:t>职业规划以 CareerProfile（职业画像）为统一输入。画像建议包含职业兴趣与人格偏好、教育与项目经历、技能证据、目标岗位、地域与时间约束、薪酬与工作方式偏好，以及 S1 产生的能力证据和训练记录。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岗位方向匹配：通过版本化职业角色包描述岗位职责、核心能力、常见路径、典型任务和能力门槛，给出推荐方向及推荐理由。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差距诊断：区分兴趣匹配、技能匹配、经历匹配和证据充分度，明确“尚未具备”与“尚未证明”之间的差异。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分阶段行动计划：按近期（0-3 个月）、中期（3-12 个月）和长期（1-3 年）输出学习、项目、作品集、求职与复盘任务。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多方案比较：支持主路径、备选路径和转型路径，说明各方案的进入成本、关键风险、验证动作和退出条件。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持续校正：用户完成训练、更新简历或进行新一轮面试后，系统基于新增证据更新职业画像和行动计划，不把首次测评结果固化为永久标签。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3.4 AI 简历优化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目标岗位驱动：在保留通用版本的同时，允许用户选择目标岗位或导入岗位描述，生成岗位定向的简历诊断。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结构与表达优化：检查职业摘要、经历顺序、项目描述、技能分类、关键词覆盖、职责与成果区分，以及表达的一致性和可读性。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证据化改写：按照背景、任务、行动和结果组织经历，优先使用用户已确认的数据和事实；对缺失指标仅提出补充问题，不自动编造。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差异对比与版本管理：保留原文、建议稿、修改原因、依据来源和用户确认状态，支持通用版与岗位定向版并存。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与 S1 联动：将简历中的高重要度主张转化为后续面试验证点，并利用 S1 面试证据反向发现简历中的表述过强、证据不足或遗漏优势。</w:t>
      </w:r>
    </w:p>
    <w:p>
      <w:pPr>
        <w:keepLines/>
        <w:spacing w:before="120" w:after="160" w:line="264" w:lineRule="auto"/>
        <w:ind w:left="160" w:right="160"/>
        <w:shd w:val="clear" w:fill="FFF8E6"/>
        <w:pBdr>
          <w:top w:val="single" w:sz="8" w:space="5" w:color="8A6512"/>
          <w:left w:val="single" w:sz="8" w:space="5" w:color="8A6512"/>
          <w:bottom w:val="single" w:sz="8" w:space="5" w:color="8A6512"/>
          <w:right w:val="single" w:sz="8" w:space="5" w:color="8A6512"/>
        </w:pBdr>
      </w:pPr>
      <w:r>
        <w:rPr>
          <w:rFonts w:ascii="Calibri" w:hAnsi="Calibri" w:eastAsia="Microsoft YaHei"/>
          <w:b/>
          <w:color w:val="8A6512"/>
          <w:sz w:val="21"/>
        </w:rPr>
        <w:t>不可突破的质量底线：</w:t>
      </w:r>
      <w:r>
        <w:rPr>
          <w:rFonts w:ascii="Calibri" w:hAnsi="Calibri" w:eastAsia="Microsoft YaHei"/>
          <w:color w:val="1F2937"/>
          <w:sz w:val="21"/>
        </w:rPr>
        <w:t>AI 不得虚构任职经历、项目职责、技术方案、业务数据、奖项或学历信息。凡涉及新增事实、量化结果或责任范围的改写，必须标记为“待用户确认”，确认前不得进入最终简历。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3.5 S2 分阶段实施安排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S2-1 测评基础能力：完成统一测评模型、题库版本、答题会话、确定性计分、结果快照和断点恢复。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S2-2 职业倾向报告：完成霍兰德与 MBTI 单项报告、综合职业倾向报告、解释边界和报告导出。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S2-3 职业画像与规划引擎：整合测评、简历、偏好、目标岗位和 S1 证据，完成岗位方向匹配、差距诊断和分阶段行动计划。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S2-4 简历优化与版本管理：完成岗位描述解析、简历诊断、证据化改写、修改对比、用户确认和多版本管理。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S2-5 闭环联动与发布验收：打通职业规划、简历、面试方案、面试证据和训练任务，完成隐私、安全、性能、可解释性与回归测试。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3.6 S2 关键交付与验收口径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同一问卷版本和相同答案的计分结果必须一致，原始得分与报告解释分层保存，AI 不得修改原始计分。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职业倾向报告完整展示维度结果、组合解释、岗位方向、限制说明和建议验证动作，并能够追溯题库与规则版本。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职业规划中的关键建议能够标注来源：测评、简历、目标岗位、用户偏好或 S1 能力证据。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行动计划包含阶段目标、具体任务、完成标准、复盘节点和调整条件，不只输出泛化建议。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简历优化提供逐项修改对比与理由；未经用户确认的新增事实为零，目标岗位定向版本可独立保存和回滚。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用户能够查看、导出和删除个人测评、规划与简历数据；本地多用户数据保持严格隔离。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</w:rPr>
        <w:t>四、S1 与 S2 的衔接关系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4.1 统一业务闭环</w:t>
      </w:r>
    </w:p>
    <w:p>
      <w:r>
        <w:rPr>
          <w:rFonts w:ascii="Calibri" w:hAnsi="Calibri" w:eastAsia="Microsoft YaHei"/>
          <w:i w:val="0"/>
          <w:color w:val="1F2937"/>
        </w:rPr>
        <w:t>S1 与 S2 的价值不在于功能叠加，而在于数据和行动能够循环验证。建议形成以下闭环：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用户提供简历、目标岗位与个人偏好，形成基础职业档案。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完成霍兰德与 MBTI 问卷，生成职业兴趣和人格偏好结果。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系统综合测评、简历和岗位知识形成 CareerProfile，并输出职业方向、差距与行动计划。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系统生成岗位定向简历优化建议，并将核心经历主张转化为面试验证重点。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用户进入 S1 面试训练，产生主张、逻辑、能力和场景表现证据。</w:t>
      </w:r>
    </w:p>
    <w:p>
      <w:pPr>
        <w:pStyle w:val="S1S2Number"/>
        <w:numPr>
          <w:ilvl w:val="0"/>
          <w:numId w:val="43"/>
        </w:numPr>
      </w:pPr>
      <w:r>
        <w:rPr>
          <w:rFonts w:ascii="Calibri" w:hAnsi="Calibri" w:eastAsia="Microsoft YaHei"/>
          <w:color w:val="1F2937"/>
        </w:rPr>
        <w:t>S2 根据新增证据更新职业画像、简历表达和训练计划，用户再进入复试验证。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4.2 可复用能力与新增能力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直接复用：用户体系、本地多用户隔离、简历解析、候选人画像、岗位描述、知识库、报告输出和历史记录。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S1 向 S2 提供：DomainPack 的岗位能力模型、Claim Ledger 的经历主张、Evidence Ledger 的能力证据、训练建议和分支对比结果。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S2 新增：测评定义与题库版本、测评会话与结果快照、职业角色包、职业画像、职业计划、简历版本和修改确认记录。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S2 反向支持 S1：将目标岗位、职业方向、能力差距和简历高重要度主张作为面试方案与专项训练的输入。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4.3 推进依赖与并行边界</w:t>
      </w:r>
    </w:p>
    <w:p>
      <w:r>
        <w:rPr>
          <w:rFonts w:ascii="Calibri" w:hAnsi="Calibri" w:eastAsia="Microsoft YaHei"/>
          <w:i w:val="0"/>
          <w:color w:val="1F2937"/>
        </w:rPr>
        <w:t>S2 的题库调研、合规审查、数据模型和原型设计可以在 S1 后半阶段提前准备；但 S2 与面试证据的深度联动，应在 S1 的 DomainPack、Claim Ledger、Evidence Ledger 和报告接口稳定后实施。推进顺序坚持“先保证 S1 核心闭环，再开展 S2 集成开发”，避免同时扩大范围导致两个阶段均无法形成稳定交付。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</w:rPr>
        <w:t>五、技术实施原则与质量边界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5.1 总体技术路线</w:t>
      </w:r>
    </w:p>
    <w:p>
      <w:r>
        <w:rPr>
          <w:rFonts w:ascii="Calibri" w:hAnsi="Calibri" w:eastAsia="Microsoft YaHei"/>
          <w:i w:val="0"/>
          <w:color w:val="1F2937"/>
        </w:rPr>
        <w:t>后续建设继续沿用现有 Java、JavaFX、Spring Boot、Spring AI、LangGraph4j、SQLite 与 Lucene 技术基础，保持本地运行、本地多用户、在线模型调用和单 Agent 工作流约束。S1 通过结构化节点增强面试策略；S2 通过确定性测评规则、职业画像和规划工作流扩展业务范围，不在当前阶段引入多 Agent、语音、视频、在线代码执行或复杂插件市场。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5.2 规则与 AI 的职责分工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1462"/>
        <w:gridCol w:w="3771"/>
        <w:gridCol w:w="3887"/>
      </w:tblGrid>
      <w:tr>
        <w:trPr>
          <w:tblHeader w:val="true"/>
          <w:cantSplit/>
        </w:trPr>
        <w:tc>
          <w:tcPr>
            <w:tcW w:type="dxa" w:w="1462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模块</w:t>
            </w:r>
          </w:p>
        </w:tc>
        <w:tc>
          <w:tcPr>
            <w:tcW w:type="dxa" w:w="3771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确定性规则负责</w:t>
            </w:r>
          </w:p>
        </w:tc>
        <w:tc>
          <w:tcPr>
            <w:tcW w:type="dxa" w:w="3887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AI 负责</w:t>
            </w:r>
          </w:p>
        </w:tc>
      </w:tr>
      <w:tr>
        <w:trPr>
          <w:cantSplit/>
        </w:trPr>
        <w:tc>
          <w:tcPr>
            <w:tcW w:type="dxa" w:w="146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职业测评</w:t>
            </w:r>
          </w:p>
        </w:tc>
        <w:tc>
          <w:tcPr>
            <w:tcW w:type="dxa" w:w="37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题目版本、答题记录、反向计分、维度得分、结果快照</w:t>
            </w:r>
          </w:p>
        </w:tc>
        <w:tc>
          <w:tcPr>
            <w:tcW w:type="dxa" w:w="38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结果解释、个性化表述、补充问题</w:t>
            </w:r>
          </w:p>
        </w:tc>
      </w:tr>
      <w:tr>
        <w:trPr>
          <w:cantSplit/>
        </w:trPr>
        <w:tc>
          <w:tcPr>
            <w:tcW w:type="dxa" w:w="1462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职业规划</w:t>
            </w:r>
          </w:p>
        </w:tc>
        <w:tc>
          <w:tcPr>
            <w:tcW w:type="dxa" w:w="3771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资料来源、岗位能力映射、约束校验、版本记录</w:t>
            </w:r>
          </w:p>
        </w:tc>
        <w:tc>
          <w:tcPr>
            <w:tcW w:type="dxa" w:w="3887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方案生成、路径比较、行动建议与交互修订</w:t>
            </w:r>
          </w:p>
        </w:tc>
      </w:tr>
      <w:tr>
        <w:trPr>
          <w:cantSplit/>
        </w:trPr>
        <w:tc>
          <w:tcPr>
            <w:tcW w:type="dxa" w:w="146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简历优化</w:t>
            </w:r>
          </w:p>
        </w:tc>
        <w:tc>
          <w:tcPr>
            <w:tcW w:type="dxa" w:w="37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原始事实、版本差异、确认状态、回滚</w:t>
            </w:r>
          </w:p>
        </w:tc>
        <w:tc>
          <w:tcPr>
            <w:tcW w:type="dxa" w:w="38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结构诊断、表达改写、岗位定向建议</w:t>
            </w:r>
          </w:p>
        </w:tc>
      </w:tr>
      <w:tr>
        <w:trPr>
          <w:cantSplit/>
        </w:trPr>
        <w:tc>
          <w:tcPr>
            <w:tcW w:type="dxa" w:w="1462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S1 面试</w:t>
            </w:r>
          </w:p>
        </w:tc>
        <w:tc>
          <w:tcPr>
            <w:tcW w:type="dxa" w:w="3771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阶段、状态、证据关联、质量门禁和降级规则</w:t>
            </w:r>
          </w:p>
        </w:tc>
        <w:tc>
          <w:tcPr>
            <w:tcW w:type="dxa" w:w="3887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主张/逻辑分析、问题生成、证据理由与报告叙述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5.3 数据、隐私与可追溯性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版本快照：DomainPack、职业角色包、题库、计分规则、提示模板和报告模板均需版本化，保证历史结果可复现。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来源标记：职业建议和简历改写区分用户事实、测评结果、岗位知识、场景假设和 AI 推断，禁止混写。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数据最小化：默认本地保存结构化结果和必要上下文，模型调用仅发送完成当前任务所需信息。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用户控制：提供查看、导出、删除、重新测评和撤销简历改写能力，敏感信息进入模型前应支持提示或脱敏。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失败降级：测评计分不依赖模型；AI 解释、规划或改写失败时保留原始结果和用户资料，不阻断用户继续操作。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</w:rPr>
        <w:t>六、总体里程碑与推进安排</w:t>
      </w:r>
    </w:p>
    <w:p>
      <w:r>
        <w:rPr>
          <w:rFonts w:ascii="Calibri" w:hAnsi="Calibri" w:eastAsia="Microsoft YaHei"/>
          <w:i w:val="0"/>
          <w:color w:val="1F2937"/>
        </w:rPr>
        <w:t>本计划采用里程碑管理，不在资源、人员和 S1 当前进度尚未最终确认时固化日历日期。每个里程碑以可演示产出和验收门槛为准，上一里程碑未达到质量门槛时，不进入大范围功能扩张。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682"/>
        <w:gridCol w:w="1218"/>
        <w:gridCol w:w="2192"/>
        <w:gridCol w:w="2387"/>
        <w:gridCol w:w="2641"/>
      </w:tblGrid>
      <w:tr>
        <w:trPr>
          <w:tblHeader w:val="true"/>
          <w:cantSplit/>
        </w:trPr>
        <w:tc>
          <w:tcPr>
            <w:tcW w:type="dxa" w:w="682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里程碑</w:t>
            </w:r>
          </w:p>
        </w:tc>
        <w:tc>
          <w:tcPr>
            <w:tcW w:type="dxa" w:w="1218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阶段状态</w:t>
            </w:r>
          </w:p>
        </w:tc>
        <w:tc>
          <w:tcPr>
            <w:tcW w:type="dxa" w:w="2192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建设重点</w:t>
            </w:r>
          </w:p>
        </w:tc>
        <w:tc>
          <w:tcPr>
            <w:tcW w:type="dxa" w:w="2387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主要产出</w:t>
            </w:r>
          </w:p>
        </w:tc>
        <w:tc>
          <w:tcPr>
            <w:tcW w:type="dxa" w:w="2641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进入下一阶段条件</w:t>
            </w:r>
          </w:p>
        </w:tc>
      </w:tr>
      <w:tr>
        <w:trPr>
          <w:cantSplit/>
        </w:trPr>
        <w:tc>
          <w:tcPr>
            <w:tcW w:type="dxa" w:w="6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M1</w:t>
            </w:r>
          </w:p>
        </w:tc>
        <w:tc>
          <w:tcPr>
            <w:tcW w:type="dxa" w:w="121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S1 正在推进</w:t>
            </w:r>
          </w:p>
        </w:tc>
        <w:tc>
          <w:tcPr>
            <w:tcW w:type="dxa" w:w="21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领域知识、主张验证、追问规划、证据基础</w:t>
            </w:r>
          </w:p>
        </w:tc>
        <w:tc>
          <w:tcPr>
            <w:tcW w:type="dxa" w:w="23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可围绕主张追问并积累证据的面试主链</w:t>
            </w:r>
          </w:p>
        </w:tc>
        <w:tc>
          <w:tcPr>
            <w:tcW w:type="dxa" w:w="26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核心状态可持久化，基础追问与证据验收通过</w:t>
            </w:r>
          </w:p>
        </w:tc>
      </w:tr>
      <w:tr>
        <w:trPr>
          <w:cantSplit/>
        </w:trPr>
        <w:tc>
          <w:tcPr>
            <w:tcW w:type="dxa" w:w="682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M2</w:t>
            </w:r>
          </w:p>
        </w:tc>
        <w:tc>
          <w:tcPr>
            <w:tcW w:type="dxa" w:w="1218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S1 后续</w:t>
            </w:r>
          </w:p>
        </w:tc>
        <w:tc>
          <w:tcPr>
            <w:tcW w:type="dxa" w:w="2192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逻辑链、一致性、压力控制、动态场景、质量门禁</w:t>
            </w:r>
          </w:p>
        </w:tc>
        <w:tc>
          <w:tcPr>
            <w:tcW w:type="dxa" w:w="2387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具备跨轮验证与真实场景推演能力</w:t>
            </w:r>
          </w:p>
        </w:tc>
        <w:tc>
          <w:tcPr>
            <w:tcW w:type="dxa" w:w="2641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场景一致、压力安全、问题质量稳定</w:t>
            </w:r>
          </w:p>
        </w:tc>
      </w:tr>
      <w:tr>
        <w:trPr>
          <w:cantSplit/>
        </w:trPr>
        <w:tc>
          <w:tcPr>
            <w:tcW w:type="dxa" w:w="6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M3</w:t>
            </w:r>
          </w:p>
        </w:tc>
        <w:tc>
          <w:tcPr>
            <w:tcW w:type="dxa" w:w="121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S1 收口</w:t>
            </w:r>
          </w:p>
        </w:tc>
        <w:tc>
          <w:tcPr>
            <w:tcW w:type="dxa" w:w="21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证据化报告、分支复盘、专项训练、稳定性</w:t>
            </w:r>
          </w:p>
        </w:tc>
        <w:tc>
          <w:tcPr>
            <w:tcW w:type="dxa" w:w="23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S1 可发布版本及完整训练闭环</w:t>
            </w:r>
          </w:p>
        </w:tc>
        <w:tc>
          <w:tcPr>
            <w:tcW w:type="dxa" w:w="26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S1 总体验收通过，关键数据接口稳定</w:t>
            </w:r>
          </w:p>
        </w:tc>
      </w:tr>
      <w:tr>
        <w:trPr>
          <w:cantSplit/>
        </w:trPr>
        <w:tc>
          <w:tcPr>
            <w:tcW w:type="dxa" w:w="682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M4</w:t>
            </w:r>
          </w:p>
        </w:tc>
        <w:tc>
          <w:tcPr>
            <w:tcW w:type="dxa" w:w="1218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S2 启动</w:t>
            </w:r>
          </w:p>
        </w:tc>
        <w:tc>
          <w:tcPr>
            <w:tcW w:type="dxa" w:w="2192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测评平台、霍兰德/MBTI、职业倾向报告</w:t>
            </w:r>
          </w:p>
        </w:tc>
        <w:tc>
          <w:tcPr>
            <w:tcW w:type="dxa" w:w="2387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可复现的测评结果和综合报告</w:t>
            </w:r>
          </w:p>
        </w:tc>
        <w:tc>
          <w:tcPr>
            <w:tcW w:type="dxa" w:w="2641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题库合规、计分一致、解释边界明确</w:t>
            </w:r>
          </w:p>
        </w:tc>
      </w:tr>
      <w:tr>
        <w:trPr>
          <w:cantSplit/>
        </w:trPr>
        <w:tc>
          <w:tcPr>
            <w:tcW w:type="dxa" w:w="6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M5</w:t>
            </w:r>
          </w:p>
        </w:tc>
        <w:tc>
          <w:tcPr>
            <w:tcW w:type="dxa" w:w="121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S2 核心</w:t>
            </w:r>
          </w:p>
        </w:tc>
        <w:tc>
          <w:tcPr>
            <w:tcW w:type="dxa" w:w="21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职业画像、岗位匹配、差距诊断、行动计划</w:t>
            </w:r>
          </w:p>
        </w:tc>
        <w:tc>
          <w:tcPr>
            <w:tcW w:type="dxa" w:w="23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可追溯的职业规划方案</w:t>
            </w:r>
          </w:p>
        </w:tc>
        <w:tc>
          <w:tcPr>
            <w:tcW w:type="dxa" w:w="26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建议来源清晰、计划可执行、支持修订</w:t>
            </w:r>
          </w:p>
        </w:tc>
      </w:tr>
      <w:tr>
        <w:trPr>
          <w:cantSplit/>
        </w:trPr>
        <w:tc>
          <w:tcPr>
            <w:tcW w:type="dxa" w:w="682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M6</w:t>
            </w:r>
          </w:p>
        </w:tc>
        <w:tc>
          <w:tcPr>
            <w:tcW w:type="dxa" w:w="1218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S2 收口</w:t>
            </w:r>
          </w:p>
        </w:tc>
        <w:tc>
          <w:tcPr>
            <w:tcW w:type="dxa" w:w="2192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简历优化、版本管理、S1-S2 联动、发布验收</w:t>
            </w:r>
          </w:p>
        </w:tc>
        <w:tc>
          <w:tcPr>
            <w:tcW w:type="dxa" w:w="2387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职业发展闭环及 S2 可发布版本</w:t>
            </w:r>
          </w:p>
        </w:tc>
        <w:tc>
          <w:tcPr>
            <w:tcW w:type="dxa" w:w="2641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无事实虚构，隐私、回滚与回归测试通过</w:t>
            </w:r>
          </w:p>
        </w:tc>
      </w:tr>
    </w:tbl>
    <w:p>
      <w:pPr>
        <w:spacing w:before="0"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</w:rPr>
        <w:t>七、综合验收标准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7.1 产品与业务验收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用户能够完成从职业测评、职业倾向报告、职业规划、简历优化到面试训练和复盘的主要路径。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S1 与 S2 各自能够独立形成可用闭环，任一阶段暂未完成时不会破坏另一阶段的核心功能。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重要结论、建议和改写均可解释、可追溯、可修订，不以一次模型输出作为不可更改的最终结论。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正式模拟、教练训练、测评解释和职业规划使用明确区分的数据与规则，避免训练提示污染正式评价。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7.2 技术与质量验收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关键结构化输出通过 Schema、枚举、必填字段和数值范围校验；修复失败时具备明确降级路径。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测评计分、版本快照、简历事实和用户确认记录不依赖模型生成，历史报告可复现。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新增节点或模型调用失败不导致会话、测评或简历原稿丢失；检查点和数据迁移具备兼容策略。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模型上下文遵循最小必要原则，跨用户数据不串用，导出与删除流程可验证。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核心路径完成单元测试、集成测试、回归测试和典型异常测试，并保留可演示样例数据。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2E74B5"/>
        </w:rPr>
        <w:t>八、主要风险与保障措施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1754"/>
        <w:gridCol w:w="2533"/>
        <w:gridCol w:w="4833"/>
      </w:tblGrid>
      <w:tr>
        <w:trPr>
          <w:tblHeader w:val="true"/>
          <w:cantSplit/>
        </w:trPr>
        <w:tc>
          <w:tcPr>
            <w:tcW w:type="dxa" w:w="1754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风险</w:t>
            </w:r>
          </w:p>
        </w:tc>
        <w:tc>
          <w:tcPr>
            <w:tcW w:type="dxa" w:w="2533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可能影响</w:t>
            </w:r>
          </w:p>
        </w:tc>
        <w:tc>
          <w:tcPr>
            <w:tcW w:type="dxa" w:w="4833"/>
            <w:tcMar>
              <w:top w:w="90" w:type="dxa"/>
              <w:bottom w:w="90" w:type="dxa"/>
              <w:start w:w="12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11827"/>
                <w:sz w:val="17"/>
              </w:rPr>
              <w:t>保障措施</w:t>
            </w:r>
          </w:p>
        </w:tc>
      </w:tr>
      <w:tr>
        <w:trPr>
          <w:cantSplit/>
        </w:trPr>
        <w:tc>
          <w:tcPr>
            <w:tcW w:type="dxa" w:w="175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S1 节点过多、流程复杂</w:t>
            </w:r>
          </w:p>
        </w:tc>
        <w:tc>
          <w:tcPr>
            <w:tcW w:type="dxa" w:w="25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响应变慢、成本上升、局部失败放大</w:t>
            </w:r>
          </w:p>
        </w:tc>
        <w:tc>
          <w:tcPr>
            <w:tcW w:type="dxa" w:w="48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合并可合并节点，控制执行频率；为每个分析节点设置超时、重试和降级；只向内部节点提供相关摘要。</w:t>
            </w:r>
          </w:p>
        </w:tc>
      </w:tr>
      <w:tr>
        <w:trPr>
          <w:cantSplit/>
        </w:trPr>
        <w:tc>
          <w:tcPr>
            <w:tcW w:type="dxa" w:w="1754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测评结果被过度解读</w:t>
            </w:r>
          </w:p>
        </w:tc>
        <w:tc>
          <w:tcPr>
            <w:tcW w:type="dxa" w:w="2533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用户被标签化，建议失真</w:t>
            </w:r>
          </w:p>
        </w:tc>
        <w:tc>
          <w:tcPr>
            <w:tcW w:type="dxa" w:w="4833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明确兴趣/偏好不等于能力；展示维度与限制说明；允许重测和补充证据，不输出确定性职业结论。</w:t>
            </w:r>
          </w:p>
        </w:tc>
      </w:tr>
      <w:tr>
        <w:trPr>
          <w:cantSplit/>
        </w:trPr>
        <w:tc>
          <w:tcPr>
            <w:tcW w:type="dxa" w:w="175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题库与量表合规不清</w:t>
            </w:r>
          </w:p>
        </w:tc>
        <w:tc>
          <w:tcPr>
            <w:tcW w:type="dxa" w:w="25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发布受阻或引发版权、商标风险</w:t>
            </w:r>
          </w:p>
        </w:tc>
        <w:tc>
          <w:tcPr>
            <w:tcW w:type="dxa" w:w="48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建立题目来源台账；优先自研或授权；正式发布前完成合规审查和对外命名确认。</w:t>
            </w:r>
          </w:p>
        </w:tc>
      </w:tr>
      <w:tr>
        <w:trPr>
          <w:cantSplit/>
        </w:trPr>
        <w:tc>
          <w:tcPr>
            <w:tcW w:type="dxa" w:w="1754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职业建议出现幻觉</w:t>
            </w:r>
          </w:p>
        </w:tc>
        <w:tc>
          <w:tcPr>
            <w:tcW w:type="dxa" w:w="2533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岗位信息错误、行动计划不可执行</w:t>
            </w:r>
          </w:p>
        </w:tc>
        <w:tc>
          <w:tcPr>
            <w:tcW w:type="dxa" w:w="4833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职业角色包版本化；建议标注依据与假设；缺少数据时说明不确定性，不宣称实时市场结论。</w:t>
            </w:r>
          </w:p>
        </w:tc>
      </w:tr>
      <w:tr>
        <w:trPr>
          <w:cantSplit/>
        </w:trPr>
        <w:tc>
          <w:tcPr>
            <w:tcW w:type="dxa" w:w="175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简历改写虚构事实</w:t>
            </w:r>
          </w:p>
        </w:tc>
        <w:tc>
          <w:tcPr>
            <w:tcW w:type="dxa" w:w="25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损害用户诚信并产生求职风险</w:t>
            </w:r>
          </w:p>
        </w:tc>
        <w:tc>
          <w:tcPr>
            <w:tcW w:type="dxa" w:w="48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事实与表达分层；新增事实一律待确认；保留逐项差异、来源和回滚，设置最终确认门禁。</w:t>
            </w:r>
          </w:p>
        </w:tc>
      </w:tr>
      <w:tr>
        <w:trPr>
          <w:cantSplit/>
        </w:trPr>
        <w:tc>
          <w:tcPr>
            <w:tcW w:type="dxa" w:w="1754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S1 与 S2 同时扩张</w:t>
            </w:r>
          </w:p>
        </w:tc>
        <w:tc>
          <w:tcPr>
            <w:tcW w:type="dxa" w:w="2533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资源分散、延期、质量下降</w:t>
            </w:r>
          </w:p>
        </w:tc>
        <w:tc>
          <w:tcPr>
            <w:tcW w:type="dxa" w:w="4833"/>
            <w:shd w:fill="FAFBFC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S1 核心闭环优先；S2 前期仅并行开展调研、合规与数据模型；深度集成以 S1 接口稳定为准入条件。</w:t>
            </w:r>
          </w:p>
        </w:tc>
      </w:tr>
      <w:tr>
        <w:trPr>
          <w:cantSplit/>
        </w:trPr>
        <w:tc>
          <w:tcPr>
            <w:tcW w:type="dxa" w:w="175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敏感职业数据泄露</w:t>
            </w:r>
          </w:p>
        </w:tc>
        <w:tc>
          <w:tcPr>
            <w:tcW w:type="dxa" w:w="25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隐私与信任风险</w:t>
            </w:r>
          </w:p>
        </w:tc>
        <w:tc>
          <w:tcPr>
            <w:tcW w:type="dxa" w:w="48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本地存储、多用户隔离、最小化模型输入、可删除与可导出；对敏感字段提供脱敏提醒。</w:t>
            </w:r>
          </w:p>
        </w:tc>
      </w:tr>
    </w:tbl>
    <w:p>
      <w:pPr>
        <w:spacing w:before="0"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</w:rPr>
        <w:t>九、预期成果与汇报结论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9.1 预期交付成果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S1：面试策略与证据引擎、版本化岗位知识包、主张与证据台账、动态情境面试、证据化报告和分支训练闭环。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S2：霍兰德与 MBTI 问卷、确定性计分与结果快照、职业倾向综合报告、职业画像与职业发展计划。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S2：目标岗位定向的简历诊断、证据化改写、逐项差异说明、多版本管理与用户确认机制。</w:t>
      </w:r>
    </w:p>
    <w:p>
      <w:pPr>
        <w:pStyle w:val="S1S2Bullet"/>
        <w:numPr>
          <w:ilvl w:val="0"/>
          <w:numId w:val="42"/>
        </w:numPr>
      </w:pPr>
      <w:r>
        <w:rPr>
          <w:rFonts w:ascii="Calibri" w:hAnsi="Calibri" w:eastAsia="Microsoft YaHei"/>
          <w:color w:val="1F2937"/>
        </w:rPr>
        <w:t>统一能力：S1 与 S2 的数据接口、版本体系、隐私控制、失败降级、验收样例和使用说明。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</w:rPr>
        <w:t>9.2 预期产品价值</w:t>
      </w:r>
    </w:p>
    <w:p>
      <w:r>
        <w:rPr>
          <w:rFonts w:ascii="Calibri" w:hAnsi="Calibri" w:eastAsia="Microsoft YaHei"/>
          <w:i w:val="0"/>
          <w:color w:val="1F2937"/>
        </w:rPr>
        <w:t>S1 完成后，AI Interviewer 将不再只是能够完成一场面试，而是能够理解候选人说了什么、识别哪里需要验证、依据什么评分，并通过场景与复盘帮助用户提升。S2 完成后，产品将进一步覆盖“认识自己、选择方向、制定计划、优化材料、模拟面试、复盘提升”的完整过程，形成差异化的个人职业发展训练平台。</w:t>
      </w:r>
    </w:p>
    <w:p>
      <w:pPr>
        <w:keepLines/>
        <w:spacing w:before="120" w:after="160" w:line="264" w:lineRule="auto"/>
        <w:ind w:left="160" w:right="160"/>
        <w:shd w:val="clear" w:fill="EAF1F8"/>
        <w:pBdr>
          <w:top w:val="single" w:sz="8" w:space="5" w:color="2E74B5"/>
          <w:left w:val="single" w:sz="8" w:space="5" w:color="2E74B5"/>
          <w:bottom w:val="single" w:sz="8" w:space="5" w:color="2E74B5"/>
          <w:right w:val="single" w:sz="8" w:space="5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建议推进结论：</w:t>
      </w:r>
      <w:r>
        <w:rPr>
          <w:rFonts w:ascii="Calibri" w:hAnsi="Calibri" w:eastAsia="Microsoft YaHei"/>
          <w:color w:val="1F2937"/>
          <w:sz w:val="21"/>
        </w:rPr>
        <w:t>当前继续以 S1 核心闭环和质量验收为主；在 S1 后半阶段同步开展 S2 的题库调研、合规审查、数据模型与交互原型；待 S1 关键数据接口稳定后，按“测评与报告 → 职业画像与规划 → 简历优化 → S1-S2 闭环联动”的顺序推进 S2。</w:t>
      </w:r>
    </w:p>
    <w:p>
      <w:pPr>
        <w:spacing w:before="280" w:after="0"/>
        <w:jc w:val="center"/>
      </w:pPr>
      <w:r>
        <w:rPr>
          <w:rFonts w:ascii="Calibri" w:hAnsi="Calibri" w:eastAsia="Microsoft YaHei"/>
          <w:color w:val="667085"/>
          <w:sz w:val="19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/>
    <w:r>
      <w:rPr>
        <w:rFonts w:ascii="Calibri" w:hAnsi="Calibri" w:eastAsia="Microsoft YaHei"/>
        <w:b/>
        <w:color w:val="667085"/>
        <w:sz w:val="17"/>
      </w:rPr>
      <w:t>AI INTERVIEWER</w:t>
    </w:r>
    <w:r>
      <w:rPr>
        <w:rFonts w:ascii="Calibri" w:hAnsi="Calibri" w:eastAsia="Microsoft YaHei"/>
        <w:color w:val="667085"/>
        <w:sz w:val="17"/>
      </w:rPr>
      <w:tab/>
      <w:t>S1-S2 后续建设计划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abstractNum w:abstractNumId="4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  <w:rPr>
        <w:rFonts w:ascii="Calibri" w:hAnsi="Calibri" w:eastAsia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1S2Bullet">
    <w:name w:val="S1S2 Bullet"/>
    <w:pPr>
      <w:keepLines/>
      <w:spacing w:before="0" w:after="160" w:line="280" w:lineRule="auto"/>
    </w:pPr>
    <w:rPr>
      <w:rFonts w:ascii="Calibri" w:hAnsi="Calibri" w:eastAsia="Microsoft YaHei"/>
      <w:color w:val="1F2937"/>
      <w:sz w:val="22"/>
    </w:rPr>
  </w:style>
  <w:style w:type="paragraph" w:customStyle="1" w:styleId="S1S2Number">
    <w:name w:val="S1S2 Number"/>
    <w:pPr>
      <w:keepLines/>
      <w:spacing w:before="0" w:after="160" w:line="280" w:lineRule="auto"/>
    </w:pPr>
    <w:rPr>
      <w:rFonts w:ascii="Calibri" w:hAnsi="Calibri" w:eastAsia="Microsoft YaHei"/>
      <w:color w:val="1F2937"/>
      <w:sz w:val="22"/>
    </w:rPr>
  </w:style>
  <w:style w:type="paragraph" w:customStyle="1" w:styleId="Metadata">
    <w:name w:val="Metadata"/>
    <w:pPr>
      <w:spacing w:before="0" w:after="60" w:line="252" w:lineRule="auto"/>
    </w:pPr>
    <w:rPr>
      <w:rFonts w:ascii="Calibri" w:hAnsi="Calibri" w:eastAsia="Microsoft YaHei"/>
      <w:color w:val="1F2937"/>
      <w:sz w:val="21"/>
    </w:rPr>
  </w:style>
  <w:style w:type="paragraph" w:customStyle="1" w:styleId="SmallNote">
    <w:name w:val="Small Note"/>
    <w:pPr>
      <w:spacing w:before="80" w:after="80" w:line="252" w:lineRule="auto"/>
    </w:pPr>
    <w:rPr>
      <w:rFonts w:ascii="Calibri" w:hAnsi="Calibri" w:eastAsia="Microsoft YaHei"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Interviewer S1-S2 后续建设计划</dc:title>
  <dc:subject>S1 面试策略与证据引擎及 S2 职业发展决策支持的后续建设计划</dc:subject>
  <dc:creator>AI Interviewer 项目组</dc:creator>
  <cp:keywords>AI Interviewer, S1, S2, 职业测评, 职业规划, 简历优化</cp:keywords>
  <dc:description>阶段性建设规划汇报稿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