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E2DF" w14:textId="4BD3639D" w:rsidR="001514BC" w:rsidRPr="00846D20" w:rsidRDefault="001514BC" w:rsidP="00277326">
      <w:pPr>
        <w:jc w:val="center"/>
        <w:rPr>
          <w:b/>
          <w:bCs/>
          <w:sz w:val="56"/>
          <w:szCs w:val="56"/>
          <w:lang w:val="en-US"/>
        </w:rPr>
      </w:pPr>
      <w:bookmarkStart w:id="0" w:name="_Hlk156327273"/>
      <w:bookmarkEnd w:id="0"/>
      <w:r w:rsidRPr="00846D20">
        <w:rPr>
          <w:b/>
          <w:bCs/>
          <w:sz w:val="56"/>
          <w:szCs w:val="56"/>
          <w:lang w:val="en-US"/>
        </w:rPr>
        <w:t>INIOLUWA GIWA-DARAMOLA</w:t>
      </w:r>
    </w:p>
    <w:p w14:paraId="7E5FE445" w14:textId="1DED6470" w:rsidR="00277326" w:rsidRPr="00846D20" w:rsidRDefault="00272143">
      <w:pPr>
        <w:rPr>
          <w:b/>
          <w:bCs/>
          <w:lang w:val="en-US"/>
        </w:rPr>
      </w:pPr>
      <w:r w:rsidRPr="00846D20">
        <w:rPr>
          <w:b/>
          <w:bCs/>
          <w:lang w:val="en-US"/>
        </w:rPr>
        <w:t xml:space="preserve">Introduction </w:t>
      </w:r>
    </w:p>
    <w:p w14:paraId="375C9669" w14:textId="5814B778" w:rsidR="00272143" w:rsidRDefault="00846D20" w:rsidP="00895124">
      <w:pPr>
        <w:jc w:val="both"/>
        <w:rPr>
          <w:rFonts w:cs="Segoe UI"/>
        </w:rPr>
      </w:pPr>
      <w:r w:rsidRPr="00846D20">
        <w:rPr>
          <w:rFonts w:cs="Segoe UI"/>
        </w:rPr>
        <w:t>This analysis delves into the dynamics of a substantial inventory comprising 635,272 kitchen items, distributed across 11 delivery depots, servicing 32,738 orders. The goal is to optimize logistics, streamline inventory management, and enhance overall operational efficiency for a seamless and customer-centric fulfillment process.</w:t>
      </w:r>
    </w:p>
    <w:p w14:paraId="0DDFA4BD" w14:textId="1EE1B7AE" w:rsidR="00B606D3" w:rsidRPr="00245E64" w:rsidRDefault="00846D20">
      <w:pPr>
        <w:rPr>
          <w:b/>
          <w:bCs/>
          <w:sz w:val="32"/>
          <w:szCs w:val="32"/>
          <w:lang w:val="en-US"/>
        </w:rPr>
      </w:pPr>
      <w:r w:rsidRPr="00245E64">
        <w:rPr>
          <w:b/>
          <w:bCs/>
          <w:sz w:val="32"/>
          <w:szCs w:val="32"/>
          <w:lang w:val="en-US"/>
        </w:rPr>
        <w:t>Analysis of Kitchen Orders from October 2023 to January 2024</w:t>
      </w:r>
    </w:p>
    <w:p w14:paraId="6F26C440" w14:textId="5E00D60A" w:rsidR="00B606D3" w:rsidRPr="00846D20" w:rsidRDefault="00740184">
      <w:pPr>
        <w:rPr>
          <w:b/>
          <w:bCs/>
          <w:lang w:val="en-US"/>
        </w:rPr>
      </w:pPr>
      <w:r>
        <w:rPr>
          <w:b/>
          <w:bCs/>
          <w:lang w:val="en-US"/>
        </w:rPr>
        <w:t xml:space="preserve">Number of </w:t>
      </w:r>
      <w:r w:rsidR="00846D20" w:rsidRPr="00846D20">
        <w:rPr>
          <w:b/>
          <w:bCs/>
          <w:lang w:val="en-US"/>
        </w:rPr>
        <w:t>Delivery per Depot</w:t>
      </w:r>
    </w:p>
    <w:p w14:paraId="4089E641" w14:textId="228A3EE9" w:rsidR="00846D20" w:rsidRDefault="00846D20" w:rsidP="004D6C9E">
      <w:pPr>
        <w:jc w:val="both"/>
        <w:rPr>
          <w:lang w:val="en-US"/>
        </w:rPr>
      </w:pPr>
      <w:r>
        <w:rPr>
          <w:lang w:val="en-US"/>
        </w:rPr>
        <w:t xml:space="preserve">The </w:t>
      </w:r>
      <w:r w:rsidR="004957DD">
        <w:rPr>
          <w:lang w:val="en-US"/>
        </w:rPr>
        <w:t xml:space="preserve">Appendix A </w:t>
      </w:r>
      <w:r w:rsidR="00E94BCD">
        <w:rPr>
          <w:lang w:val="en-US"/>
        </w:rPr>
        <w:t xml:space="preserve">analysis </w:t>
      </w:r>
      <w:r>
        <w:rPr>
          <w:lang w:val="en-US"/>
        </w:rPr>
        <w:t>shows that</w:t>
      </w:r>
      <w:r w:rsidR="00895124">
        <w:rPr>
          <w:lang w:val="en-US"/>
        </w:rPr>
        <w:t xml:space="preserve"> Harlow </w:t>
      </w:r>
      <w:r w:rsidR="008007EA">
        <w:rPr>
          <w:lang w:val="en-US"/>
        </w:rPr>
        <w:t>had</w:t>
      </w:r>
      <w:r w:rsidR="00895124">
        <w:rPr>
          <w:lang w:val="en-US"/>
        </w:rPr>
        <w:t xml:space="preserve"> the highest number of </w:t>
      </w:r>
      <w:r w:rsidR="008007EA">
        <w:rPr>
          <w:lang w:val="en-US"/>
        </w:rPr>
        <w:t xml:space="preserve">about 2,071 </w:t>
      </w:r>
      <w:r w:rsidR="00895124">
        <w:rPr>
          <w:lang w:val="en-US"/>
        </w:rPr>
        <w:t xml:space="preserve">orders in December </w:t>
      </w:r>
      <w:r w:rsidR="008007EA">
        <w:rPr>
          <w:lang w:val="en-US"/>
        </w:rPr>
        <w:t>while Aberdeen had the least number of about 273 orders in December</w:t>
      </w:r>
      <w:r w:rsidR="004957DD">
        <w:rPr>
          <w:lang w:val="en-US"/>
        </w:rPr>
        <w:t>, while</w:t>
      </w:r>
      <w:r w:rsidR="00E94BCD">
        <w:rPr>
          <w:lang w:val="en-US"/>
        </w:rPr>
        <w:t xml:space="preserve"> the </w:t>
      </w:r>
      <w:r w:rsidR="004957DD">
        <w:rPr>
          <w:lang w:val="en-US"/>
        </w:rPr>
        <w:t xml:space="preserve">Appendix B chart shows that Preston Brook has the highest number of orders per </w:t>
      </w:r>
      <w:r w:rsidR="00E94BCD">
        <w:rPr>
          <w:lang w:val="en-US"/>
        </w:rPr>
        <w:t>delivery</w:t>
      </w:r>
      <w:r w:rsidR="004957DD">
        <w:rPr>
          <w:lang w:val="en-US"/>
        </w:rPr>
        <w:t xml:space="preserve"> depot.</w:t>
      </w:r>
      <w:r w:rsidR="00E94BCD">
        <w:rPr>
          <w:lang w:val="en-US"/>
        </w:rPr>
        <w:t xml:space="preserve"> </w:t>
      </w:r>
      <w:r w:rsidR="004957DD">
        <w:rPr>
          <w:lang w:val="en-US"/>
        </w:rPr>
        <w:t xml:space="preserve">Appendix C </w:t>
      </w:r>
      <w:r w:rsidR="004957DD">
        <w:rPr>
          <w:lang w:val="en-US"/>
        </w:rPr>
        <w:t>shows that 101,158 kitchen items were delivered by Preston Brook, which is the highest number of kitchen items delivered by the depot.</w:t>
      </w:r>
    </w:p>
    <w:p w14:paraId="64FCCAFD" w14:textId="6DC52675" w:rsidR="004D6C9E" w:rsidRPr="00245E64" w:rsidRDefault="004D6C9E" w:rsidP="00245E64">
      <w:pPr>
        <w:jc w:val="both"/>
        <w:rPr>
          <w:rFonts w:ascii="Times New Roman" w:hAnsi="Times New Roman" w:cs="Times New Roman"/>
          <w:lang w:val="en-US"/>
        </w:rPr>
      </w:pPr>
      <w:r w:rsidRPr="00245E64">
        <w:rPr>
          <w:lang w:val="en-US"/>
        </w:rPr>
        <w:t xml:space="preserve">Appendix </w:t>
      </w:r>
      <w:r w:rsidR="00245E64" w:rsidRPr="00245E64">
        <w:rPr>
          <w:lang w:val="en-US"/>
        </w:rPr>
        <w:t>A:</w:t>
      </w:r>
      <w:r w:rsidR="00245E64">
        <w:rPr>
          <w:lang w:val="en-US"/>
        </w:rPr>
        <w:t xml:space="preserve"> </w:t>
      </w:r>
      <w:r w:rsidR="00245E64" w:rsidRPr="00245E64">
        <w:rPr>
          <w:rFonts w:ascii="Times New Roman" w:hAnsi="Times New Roman" w:cs="Times New Roman"/>
          <w:lang w:val="en-US"/>
        </w:rPr>
        <w:t>What is the total number of orders per delivery depot by month?</w:t>
      </w:r>
    </w:p>
    <w:p w14:paraId="62B45FB7" w14:textId="0C1F0F73" w:rsidR="001514BC" w:rsidRDefault="000762A6">
      <w:pPr>
        <w:rPr>
          <w:lang w:val="en-US"/>
        </w:rPr>
      </w:pPr>
      <w:r>
        <w:rPr>
          <w:noProof/>
        </w:rPr>
        <w:drawing>
          <wp:inline distT="0" distB="0" distL="0" distR="0" wp14:anchorId="1EA07092" wp14:editId="719DDD7C">
            <wp:extent cx="4813935" cy="2908453"/>
            <wp:effectExtent l="0" t="0" r="5715" b="6350"/>
            <wp:docPr id="733888597" name="Chart 1">
              <a:extLst xmlns:a="http://schemas.openxmlformats.org/drawingml/2006/main">
                <a:ext uri="{FF2B5EF4-FFF2-40B4-BE49-F238E27FC236}">
                  <a16:creationId xmlns:a16="http://schemas.microsoft.com/office/drawing/2014/main" id="{94998EE2-7F20-4893-B24A-857497065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A3A398" w14:textId="77777777" w:rsidR="00264B86" w:rsidRDefault="00264B86">
      <w:pPr>
        <w:rPr>
          <w:lang w:val="en-US"/>
        </w:rPr>
      </w:pPr>
    </w:p>
    <w:p w14:paraId="002AD5EA" w14:textId="77777777" w:rsidR="00264B86" w:rsidRDefault="00264B86">
      <w:pPr>
        <w:rPr>
          <w:lang w:val="en-US"/>
        </w:rPr>
      </w:pPr>
    </w:p>
    <w:p w14:paraId="3B493C31" w14:textId="77777777" w:rsidR="00264B86" w:rsidRDefault="00264B86">
      <w:pPr>
        <w:rPr>
          <w:lang w:val="en-US"/>
        </w:rPr>
      </w:pPr>
    </w:p>
    <w:p w14:paraId="6492813B" w14:textId="77777777" w:rsidR="00264B86" w:rsidRDefault="00264B86">
      <w:pPr>
        <w:rPr>
          <w:lang w:val="en-US"/>
        </w:rPr>
      </w:pPr>
    </w:p>
    <w:p w14:paraId="0B5A4FE5" w14:textId="77777777" w:rsidR="00264B86" w:rsidRDefault="00264B86">
      <w:pPr>
        <w:rPr>
          <w:lang w:val="en-US"/>
        </w:rPr>
      </w:pPr>
    </w:p>
    <w:p w14:paraId="63AB1533" w14:textId="7BAB543A" w:rsidR="004D6C9E" w:rsidRDefault="004D6C9E">
      <w:pPr>
        <w:rPr>
          <w:lang w:val="en-US"/>
        </w:rPr>
      </w:pPr>
      <w:r>
        <w:rPr>
          <w:lang w:val="en-US"/>
        </w:rPr>
        <w:t>Appendix B</w:t>
      </w:r>
    </w:p>
    <w:p w14:paraId="7F301438" w14:textId="74B655F2" w:rsidR="00264B86" w:rsidRDefault="000762A6">
      <w:pPr>
        <w:rPr>
          <w:lang w:val="en-US"/>
        </w:rPr>
      </w:pPr>
      <w:r>
        <w:rPr>
          <w:noProof/>
        </w:rPr>
        <w:drawing>
          <wp:inline distT="0" distB="0" distL="0" distR="0" wp14:anchorId="120C1370" wp14:editId="035BBE3D">
            <wp:extent cx="5155894" cy="2897436"/>
            <wp:effectExtent l="0" t="0" r="6985" b="0"/>
            <wp:docPr id="1740403218" name="Chart 1">
              <a:extLst xmlns:a="http://schemas.openxmlformats.org/drawingml/2006/main">
                <a:ext uri="{FF2B5EF4-FFF2-40B4-BE49-F238E27FC236}">
                  <a16:creationId xmlns:a16="http://schemas.microsoft.com/office/drawing/2014/main" id="{6D8631B7-EC7C-406B-8635-ACD1C1958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86D065" w14:textId="77777777" w:rsidR="00895124" w:rsidRDefault="00895124">
      <w:pPr>
        <w:rPr>
          <w:lang w:val="en-US"/>
        </w:rPr>
      </w:pPr>
    </w:p>
    <w:p w14:paraId="791D3A96" w14:textId="603101FA" w:rsidR="00895124" w:rsidRDefault="004D6C9E">
      <w:pPr>
        <w:rPr>
          <w:lang w:val="en-US"/>
        </w:rPr>
      </w:pPr>
      <w:r>
        <w:rPr>
          <w:lang w:val="en-US"/>
        </w:rPr>
        <w:t>Appendix C</w:t>
      </w:r>
    </w:p>
    <w:p w14:paraId="162D5910" w14:textId="23F08473" w:rsidR="001514BC" w:rsidRDefault="000762A6">
      <w:pPr>
        <w:rPr>
          <w:lang w:val="en-US"/>
        </w:rPr>
      </w:pPr>
      <w:r>
        <w:rPr>
          <w:noProof/>
        </w:rPr>
        <w:drawing>
          <wp:inline distT="0" distB="0" distL="0" distR="0" wp14:anchorId="5D15E3A0" wp14:editId="5046C825">
            <wp:extent cx="4924540" cy="2864386"/>
            <wp:effectExtent l="0" t="0" r="0" b="0"/>
            <wp:docPr id="1772205251" name="Chart 1">
              <a:extLst xmlns:a="http://schemas.openxmlformats.org/drawingml/2006/main">
                <a:ext uri="{FF2B5EF4-FFF2-40B4-BE49-F238E27FC236}">
                  <a16:creationId xmlns:a16="http://schemas.microsoft.com/office/drawing/2014/main" id="{2272F440-1786-4702-8E12-13B6335BEB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54300A" w14:textId="77777777" w:rsidR="001514BC" w:rsidRDefault="001514BC">
      <w:pPr>
        <w:rPr>
          <w:lang w:val="en-US"/>
        </w:rPr>
      </w:pPr>
    </w:p>
    <w:p w14:paraId="2B4A75DE" w14:textId="77777777" w:rsidR="00E94BCD" w:rsidRDefault="00E94BCD">
      <w:pPr>
        <w:rPr>
          <w:lang w:val="en-US"/>
        </w:rPr>
      </w:pPr>
    </w:p>
    <w:p w14:paraId="2DD57D3B" w14:textId="4FAEA43B" w:rsidR="006E055F" w:rsidRDefault="006E055F" w:rsidP="00D8281D">
      <w:pPr>
        <w:rPr>
          <w:b/>
          <w:bCs/>
          <w:lang w:val="en-US"/>
        </w:rPr>
      </w:pPr>
      <w:r w:rsidRPr="006E055F">
        <w:rPr>
          <w:b/>
          <w:bCs/>
          <w:lang w:val="en-US"/>
        </w:rPr>
        <w:lastRenderedPageBreak/>
        <w:t xml:space="preserve">Number </w:t>
      </w:r>
      <w:r w:rsidR="004957DD">
        <w:rPr>
          <w:b/>
          <w:bCs/>
          <w:lang w:val="en-US"/>
        </w:rPr>
        <w:t xml:space="preserve">of </w:t>
      </w:r>
      <w:r w:rsidRPr="006E055F">
        <w:rPr>
          <w:b/>
          <w:bCs/>
          <w:lang w:val="en-US"/>
        </w:rPr>
        <w:t xml:space="preserve">Kitchen </w:t>
      </w:r>
      <w:r w:rsidR="00187D40">
        <w:rPr>
          <w:b/>
          <w:bCs/>
          <w:lang w:val="en-US"/>
        </w:rPr>
        <w:t>Items</w:t>
      </w:r>
      <w:r w:rsidRPr="006E055F">
        <w:rPr>
          <w:b/>
          <w:bCs/>
          <w:lang w:val="en-US"/>
        </w:rPr>
        <w:t xml:space="preserve"> sold per </w:t>
      </w:r>
      <w:proofErr w:type="gramStart"/>
      <w:r w:rsidR="004957DD">
        <w:rPr>
          <w:b/>
          <w:bCs/>
          <w:lang w:val="en-US"/>
        </w:rPr>
        <w:t>month</w:t>
      </w:r>
      <w:proofErr w:type="gramEnd"/>
    </w:p>
    <w:p w14:paraId="116DEFA4" w14:textId="418F21B2" w:rsidR="00E94BCD" w:rsidRPr="00E94BCD" w:rsidRDefault="00E94BCD" w:rsidP="00D8281D">
      <w:pPr>
        <w:rPr>
          <w:lang w:val="en-US"/>
        </w:rPr>
      </w:pPr>
      <w:r w:rsidRPr="00180128">
        <w:rPr>
          <w:lang w:val="en-US"/>
        </w:rPr>
        <w:t xml:space="preserve">High </w:t>
      </w:r>
      <w:r>
        <w:rPr>
          <w:lang w:val="en-US"/>
        </w:rPr>
        <w:t>sales</w:t>
      </w:r>
      <w:r w:rsidRPr="00180128">
        <w:rPr>
          <w:lang w:val="en-US"/>
        </w:rPr>
        <w:t xml:space="preserve"> in November are a result of </w:t>
      </w:r>
      <w:r>
        <w:rPr>
          <w:lang w:val="en-US"/>
        </w:rPr>
        <w:t>Thanksgiving</w:t>
      </w:r>
      <w:r w:rsidRPr="00180128">
        <w:rPr>
          <w:lang w:val="en-US"/>
        </w:rPr>
        <w:t xml:space="preserve">, Black Friday </w:t>
      </w:r>
      <w:r>
        <w:rPr>
          <w:lang w:val="en-US"/>
        </w:rPr>
        <w:t>sales</w:t>
      </w:r>
      <w:r w:rsidRPr="00180128">
        <w:rPr>
          <w:lang w:val="en-US"/>
        </w:rPr>
        <w:t xml:space="preserve">, </w:t>
      </w:r>
      <w:r>
        <w:rPr>
          <w:lang w:val="en-US"/>
        </w:rPr>
        <w:t xml:space="preserve">and </w:t>
      </w:r>
      <w:r w:rsidRPr="00180128">
        <w:rPr>
          <w:lang w:val="en-US"/>
        </w:rPr>
        <w:t>preparation for Christmas gifting which inevitably lead to a Lower cash flow in January, as most people would have exhausted their money</w:t>
      </w:r>
      <w:r>
        <w:rPr>
          <w:lang w:val="en-US"/>
        </w:rPr>
        <w:t>. N</w:t>
      </w:r>
      <w:r w:rsidRPr="00180128">
        <w:rPr>
          <w:lang w:val="en-US"/>
        </w:rPr>
        <w:t>onessential items to drop in January as people have become more prudent in spending</w:t>
      </w:r>
      <w:r>
        <w:rPr>
          <w:lang w:val="en-US"/>
        </w:rPr>
        <w:t>.</w:t>
      </w:r>
    </w:p>
    <w:p w14:paraId="678D5C2D" w14:textId="22E0836E" w:rsidR="001514BC" w:rsidRPr="006C1F1F" w:rsidRDefault="00D8281D" w:rsidP="006C1F1F">
      <w:pPr>
        <w:jc w:val="both"/>
        <w:rPr>
          <w:rFonts w:ascii="Times New Roman" w:hAnsi="Times New Roman" w:cs="Times New Roman"/>
          <w:lang w:val="en-US"/>
        </w:rPr>
      </w:pPr>
      <w:r w:rsidRPr="006C1F1F">
        <w:rPr>
          <w:lang w:val="en-US"/>
        </w:rPr>
        <w:t xml:space="preserve">Appendix </w:t>
      </w:r>
      <w:r w:rsidRPr="006C1F1F">
        <w:rPr>
          <w:lang w:val="en-US"/>
        </w:rPr>
        <w:t>D</w:t>
      </w:r>
      <w:r w:rsidR="006C1F1F" w:rsidRPr="006C1F1F">
        <w:rPr>
          <w:lang w:val="en-US"/>
        </w:rPr>
        <w:t xml:space="preserve">: </w:t>
      </w:r>
      <w:r w:rsidR="006C1F1F" w:rsidRPr="006C1F1F">
        <w:rPr>
          <w:rFonts w:ascii="Times New Roman" w:hAnsi="Times New Roman" w:cs="Times New Roman"/>
          <w:lang w:val="en-US"/>
        </w:rPr>
        <w:t>How many kitchen items were sold monthly?</w:t>
      </w:r>
    </w:p>
    <w:p w14:paraId="63707D56" w14:textId="0BDD6069" w:rsidR="00277326" w:rsidRDefault="000762A6">
      <w:pPr>
        <w:rPr>
          <w:lang w:val="en-US"/>
        </w:rPr>
      </w:pPr>
      <w:r>
        <w:rPr>
          <w:noProof/>
        </w:rPr>
        <w:drawing>
          <wp:inline distT="0" distB="0" distL="0" distR="0" wp14:anchorId="46C84E7F" wp14:editId="227289E2">
            <wp:extent cx="5266063" cy="2412694"/>
            <wp:effectExtent l="0" t="0" r="0" b="6985"/>
            <wp:docPr id="129841622" name="Chart 1">
              <a:extLst xmlns:a="http://schemas.openxmlformats.org/drawingml/2006/main">
                <a:ext uri="{FF2B5EF4-FFF2-40B4-BE49-F238E27FC236}">
                  <a16:creationId xmlns:a16="http://schemas.microsoft.com/office/drawing/2014/main" id="{1D96C060-3580-4A0D-8389-2780DFB060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346533" w14:textId="77777777" w:rsidR="00D8281D" w:rsidRDefault="00D8281D">
      <w:pPr>
        <w:rPr>
          <w:lang w:val="en-US"/>
        </w:rPr>
      </w:pPr>
    </w:p>
    <w:p w14:paraId="4BE4A31A" w14:textId="435C0049" w:rsidR="006E055F" w:rsidRDefault="006E055F">
      <w:pPr>
        <w:rPr>
          <w:b/>
          <w:bCs/>
          <w:lang w:val="en-US"/>
        </w:rPr>
      </w:pPr>
      <w:r w:rsidRPr="006E055F">
        <w:rPr>
          <w:b/>
          <w:bCs/>
          <w:lang w:val="en-US"/>
        </w:rPr>
        <w:t>Timeliness of Delivery by depot</w:t>
      </w:r>
    </w:p>
    <w:p w14:paraId="13B9DC65" w14:textId="7E165BAF" w:rsidR="00E63923" w:rsidRDefault="00E63923" w:rsidP="00E63923">
      <w:pPr>
        <w:rPr>
          <w:lang w:val="en-US"/>
        </w:rPr>
      </w:pPr>
      <w:r>
        <w:rPr>
          <w:lang w:val="en-US"/>
        </w:rPr>
        <w:t xml:space="preserve">From the graph </w:t>
      </w:r>
      <w:r w:rsidR="000F1B19">
        <w:rPr>
          <w:lang w:val="en-US"/>
        </w:rPr>
        <w:t>below</w:t>
      </w:r>
      <w:r>
        <w:rPr>
          <w:lang w:val="en-US"/>
        </w:rPr>
        <w:t>, we can see that a substantial number of the deliveries were early.</w:t>
      </w:r>
    </w:p>
    <w:p w14:paraId="6DE20A81" w14:textId="6F05B503" w:rsidR="00E63923" w:rsidRPr="00E63923" w:rsidRDefault="00E63923">
      <w:pPr>
        <w:rPr>
          <w:lang w:val="en-US"/>
        </w:rPr>
      </w:pPr>
      <w:r>
        <w:rPr>
          <w:lang w:val="en-US"/>
        </w:rPr>
        <w:t>The chart above shows that 81% of the kitchen items delivered were kitchen cabinet items.</w:t>
      </w:r>
    </w:p>
    <w:p w14:paraId="26ACC228" w14:textId="4B5F902D" w:rsidR="00D8281D" w:rsidRDefault="00D8281D" w:rsidP="00D8281D">
      <w:pPr>
        <w:rPr>
          <w:lang w:val="en-US"/>
        </w:rPr>
      </w:pPr>
      <w:r>
        <w:rPr>
          <w:lang w:val="en-US"/>
        </w:rPr>
        <w:t xml:space="preserve">Appendix </w:t>
      </w:r>
      <w:r>
        <w:rPr>
          <w:lang w:val="en-US"/>
        </w:rPr>
        <w:t>E</w:t>
      </w:r>
      <w:r w:rsidR="003955E8">
        <w:rPr>
          <w:lang w:val="en-US"/>
        </w:rPr>
        <w:t xml:space="preserve">: </w:t>
      </w:r>
      <w:r w:rsidR="003955E8" w:rsidRPr="003955E8">
        <w:rPr>
          <w:lang w:val="en-US"/>
        </w:rPr>
        <w:t>Which depots, in comparison to others, have a higher percentage of "Late" deliveries?</w:t>
      </w:r>
    </w:p>
    <w:p w14:paraId="5207F435" w14:textId="403F74BD" w:rsidR="001514BC" w:rsidRDefault="003955E8">
      <w:pPr>
        <w:rPr>
          <w:lang w:val="en-US"/>
        </w:rPr>
      </w:pPr>
      <w:r>
        <w:rPr>
          <w:noProof/>
        </w:rPr>
        <w:lastRenderedPageBreak/>
        <w:drawing>
          <wp:inline distT="0" distB="0" distL="0" distR="0" wp14:anchorId="5D6E408A" wp14:editId="3BE780EA">
            <wp:extent cx="4516916" cy="2622014"/>
            <wp:effectExtent l="0" t="0" r="0" b="6985"/>
            <wp:docPr id="438778123" name="Chart 1">
              <a:extLst xmlns:a="http://schemas.openxmlformats.org/drawingml/2006/main">
                <a:ext uri="{FF2B5EF4-FFF2-40B4-BE49-F238E27FC236}">
                  <a16:creationId xmlns:a16="http://schemas.microsoft.com/office/drawing/2014/main" id="{4F634321-91BB-432D-AB8E-A5423CBA2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66E8E0" w14:textId="77777777" w:rsidR="00187D40" w:rsidRDefault="00187D40">
      <w:pPr>
        <w:rPr>
          <w:lang w:val="en-US"/>
        </w:rPr>
      </w:pPr>
    </w:p>
    <w:p w14:paraId="37598DB1" w14:textId="3BD3E19B" w:rsidR="00187D40" w:rsidRDefault="00187D40">
      <w:pPr>
        <w:rPr>
          <w:b/>
          <w:bCs/>
          <w:lang w:val="en-US"/>
        </w:rPr>
      </w:pPr>
      <w:r w:rsidRPr="00187D40">
        <w:rPr>
          <w:b/>
          <w:bCs/>
          <w:lang w:val="en-US"/>
        </w:rPr>
        <w:t xml:space="preserve">Percentage Distribution of Kitchen item </w:t>
      </w:r>
    </w:p>
    <w:p w14:paraId="5BCFAB7E" w14:textId="24B34C59" w:rsidR="00E63923" w:rsidRPr="000F1B19" w:rsidRDefault="00E63923" w:rsidP="000F1B19">
      <w:pPr>
        <w:jc w:val="both"/>
        <w:rPr>
          <w:lang w:val="en-US"/>
        </w:rPr>
      </w:pPr>
      <w:r w:rsidRPr="00E63923">
        <w:rPr>
          <w:lang w:val="en-US"/>
        </w:rPr>
        <w:t xml:space="preserve">The chart </w:t>
      </w:r>
      <w:r>
        <w:rPr>
          <w:lang w:val="en-US"/>
        </w:rPr>
        <w:t>below indicates</w:t>
      </w:r>
      <w:r w:rsidRPr="00E63923">
        <w:rPr>
          <w:lang w:val="en-US"/>
        </w:rPr>
        <w:t xml:space="preserve"> that people </w:t>
      </w:r>
      <w:r>
        <w:rPr>
          <w:lang w:val="en-US"/>
        </w:rPr>
        <w:t xml:space="preserve">demand </w:t>
      </w:r>
      <w:r w:rsidRPr="00E63923">
        <w:rPr>
          <w:lang w:val="en-US"/>
        </w:rPr>
        <w:t xml:space="preserve">kitchen cabinet items more where kitchen </w:t>
      </w:r>
      <w:r>
        <w:rPr>
          <w:lang w:val="en-US"/>
        </w:rPr>
        <w:t>cabinets</w:t>
      </w:r>
      <w:r w:rsidRPr="00E63923">
        <w:rPr>
          <w:lang w:val="en-US"/>
        </w:rPr>
        <w:t xml:space="preserve"> </w:t>
      </w:r>
      <w:r>
        <w:rPr>
          <w:lang w:val="en-US"/>
        </w:rPr>
        <w:t xml:space="preserve">are </w:t>
      </w:r>
      <w:r w:rsidRPr="00E63923">
        <w:rPr>
          <w:lang w:val="en-US"/>
        </w:rPr>
        <w:t>81%</w:t>
      </w:r>
      <w:r>
        <w:rPr>
          <w:lang w:val="en-US"/>
        </w:rPr>
        <w:t xml:space="preserve"> more than the remaining kitchen items</w:t>
      </w:r>
      <w:r w:rsidRPr="000F1B19">
        <w:rPr>
          <w:lang w:val="en-US"/>
        </w:rPr>
        <w:t xml:space="preserve">. </w:t>
      </w:r>
      <w:r w:rsidR="000F1B19" w:rsidRPr="000F1B19">
        <w:rPr>
          <w:rFonts w:asciiTheme="majorHAnsi" w:hAnsiTheme="majorHAnsi" w:cs="Segoe UI"/>
        </w:rPr>
        <w:t>Th</w:t>
      </w:r>
      <w:r w:rsidR="000F1B19" w:rsidRPr="000F1B19">
        <w:rPr>
          <w:rFonts w:asciiTheme="majorHAnsi" w:hAnsiTheme="majorHAnsi" w:cs="Segoe UI"/>
          <w:lang w:val="en-US"/>
        </w:rPr>
        <w:t>is</w:t>
      </w:r>
      <w:r w:rsidR="000F1B19" w:rsidRPr="000F1B19">
        <w:rPr>
          <w:rFonts w:asciiTheme="majorHAnsi" w:hAnsiTheme="majorHAnsi" w:cs="Segoe UI"/>
        </w:rPr>
        <w:t xml:space="preserve"> demand might also be influenced by trends in </w:t>
      </w:r>
      <w:r w:rsidR="000F1B19" w:rsidRPr="000F1B19">
        <w:rPr>
          <w:rFonts w:asciiTheme="majorHAnsi" w:hAnsiTheme="majorHAnsi" w:cs="Segoe UI"/>
          <w:lang w:val="en-US"/>
        </w:rPr>
        <w:t xml:space="preserve">modern </w:t>
      </w:r>
      <w:r w:rsidR="000F1B19" w:rsidRPr="000F1B19">
        <w:rPr>
          <w:rFonts w:asciiTheme="majorHAnsi" w:hAnsiTheme="majorHAnsi" w:cs="Segoe UI"/>
        </w:rPr>
        <w:t>home improvement and interior design, where updated cabinets contribute significantly to overall kitchen aesthetics and functionality.</w:t>
      </w:r>
    </w:p>
    <w:p w14:paraId="151D6D52" w14:textId="4B904AE0" w:rsidR="00187D40" w:rsidRPr="003955E8" w:rsidRDefault="00187D40" w:rsidP="003955E8">
      <w:pPr>
        <w:jc w:val="both"/>
        <w:rPr>
          <w:rFonts w:ascii="Times New Roman" w:hAnsi="Times New Roman" w:cs="Times New Roman"/>
          <w:lang w:val="en-US"/>
        </w:rPr>
      </w:pPr>
      <w:r w:rsidRPr="003955E8">
        <w:rPr>
          <w:lang w:val="en-US"/>
        </w:rPr>
        <w:t xml:space="preserve">Appendix </w:t>
      </w:r>
      <w:r w:rsidR="000F1B19" w:rsidRPr="003955E8">
        <w:rPr>
          <w:lang w:val="en-US"/>
        </w:rPr>
        <w:t>F</w:t>
      </w:r>
      <w:r w:rsidR="003955E8">
        <w:rPr>
          <w:lang w:val="en-US"/>
        </w:rPr>
        <w:t xml:space="preserve">: </w:t>
      </w:r>
      <w:r w:rsidR="003955E8" w:rsidRPr="003955E8">
        <w:rPr>
          <w:lang w:val="en-US"/>
        </w:rPr>
        <w:t xml:space="preserve"> </w:t>
      </w:r>
      <w:r w:rsidR="003955E8" w:rsidRPr="003955E8">
        <w:rPr>
          <w:rFonts w:ascii="Times New Roman" w:hAnsi="Times New Roman" w:cs="Times New Roman"/>
          <w:lang w:val="en-US"/>
        </w:rPr>
        <w:t>What distribution of kitchen items delivered by product range can be observed?</w:t>
      </w:r>
    </w:p>
    <w:p w14:paraId="49E393C1" w14:textId="2312C846" w:rsidR="001514BC" w:rsidRDefault="000762A6">
      <w:pPr>
        <w:rPr>
          <w:lang w:val="en-US"/>
        </w:rPr>
      </w:pPr>
      <w:r>
        <w:rPr>
          <w:noProof/>
        </w:rPr>
        <w:drawing>
          <wp:inline distT="0" distB="0" distL="0" distR="0" wp14:anchorId="2299E366" wp14:editId="1F2079A5">
            <wp:extent cx="5155894" cy="2820318"/>
            <wp:effectExtent l="0" t="0" r="6985" b="0"/>
            <wp:docPr id="341395037" name="Chart 1">
              <a:extLst xmlns:a="http://schemas.openxmlformats.org/drawingml/2006/main">
                <a:ext uri="{FF2B5EF4-FFF2-40B4-BE49-F238E27FC236}">
                  <a16:creationId xmlns:a16="http://schemas.microsoft.com/office/drawing/2014/main" id="{2984AE69-5261-4707-925A-AF44DB0E20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F32A75" w14:textId="3C82EFC4" w:rsidR="001514BC" w:rsidRDefault="001514BC">
      <w:pPr>
        <w:rPr>
          <w:lang w:val="en-US"/>
        </w:rPr>
      </w:pPr>
    </w:p>
    <w:p w14:paraId="1A340C05" w14:textId="77777777" w:rsidR="00DF5DD0" w:rsidRDefault="00DF5DD0">
      <w:pPr>
        <w:rPr>
          <w:lang w:val="en-US"/>
        </w:rPr>
      </w:pPr>
    </w:p>
    <w:p w14:paraId="614207DD" w14:textId="77777777" w:rsidR="00DF5DD0" w:rsidRDefault="00DF5DD0">
      <w:pPr>
        <w:rPr>
          <w:lang w:val="en-US"/>
        </w:rPr>
      </w:pPr>
    </w:p>
    <w:p w14:paraId="27EF76BD" w14:textId="681CD2BE" w:rsidR="00DF5DD0" w:rsidRPr="004957DD" w:rsidRDefault="00B606D3">
      <w:pPr>
        <w:rPr>
          <w:b/>
          <w:bCs/>
          <w:lang w:val="en-US"/>
        </w:rPr>
      </w:pPr>
      <w:r w:rsidRPr="004957DD">
        <w:rPr>
          <w:b/>
          <w:bCs/>
          <w:lang w:val="en-US"/>
        </w:rPr>
        <w:t xml:space="preserve">Findings </w:t>
      </w:r>
    </w:p>
    <w:p w14:paraId="554A0B5D" w14:textId="77777777" w:rsidR="001B2648" w:rsidRPr="009C79E3" w:rsidRDefault="001B2648" w:rsidP="001B2648">
      <w:pPr>
        <w:jc w:val="both"/>
        <w:rPr>
          <w:rFonts w:ascii="Times New Roman" w:hAnsi="Times New Roman" w:cs="Times New Roman"/>
          <w:lang w:val="en-US"/>
        </w:rPr>
      </w:pPr>
      <w:r w:rsidRPr="00C22EE5">
        <w:rPr>
          <w:rFonts w:ascii="Times New Roman" w:hAnsi="Times New Roman" w:cs="Times New Roman"/>
        </w:rPr>
        <w:t>Observing a consistent absence of real-time deliveries at different depots on specific dates raises concerns. Persistent delays in logistics monitoring can negatively impact sales. It's crucial to promptly address and rectify these issues to enhance operational efficiency and maintain high levels of customer satisfaction.</w:t>
      </w:r>
    </w:p>
    <w:p w14:paraId="75294118" w14:textId="77777777" w:rsidR="00DF5DD0" w:rsidRDefault="00DF5DD0">
      <w:pPr>
        <w:rPr>
          <w:lang w:val="en-US"/>
        </w:rPr>
      </w:pPr>
    </w:p>
    <w:p w14:paraId="7FA34B63" w14:textId="77777777" w:rsidR="00DF5DD0" w:rsidRPr="004957DD" w:rsidRDefault="00DF5DD0" w:rsidP="00DF5DD0">
      <w:pPr>
        <w:jc w:val="both"/>
        <w:rPr>
          <w:b/>
          <w:bCs/>
          <w:lang w:val="en-US"/>
        </w:rPr>
      </w:pPr>
      <w:r w:rsidRPr="004957DD">
        <w:rPr>
          <w:b/>
          <w:bCs/>
          <w:lang w:val="en-US"/>
        </w:rPr>
        <w:t>Recommendation</w:t>
      </w:r>
    </w:p>
    <w:p w14:paraId="5D95AC7A" w14:textId="77777777" w:rsidR="001B2648" w:rsidRPr="009C79E3" w:rsidRDefault="001B2648" w:rsidP="001B2648">
      <w:pPr>
        <w:pStyle w:val="ListParagraph"/>
        <w:numPr>
          <w:ilvl w:val="0"/>
          <w:numId w:val="2"/>
        </w:numPr>
        <w:jc w:val="both"/>
        <w:rPr>
          <w:rFonts w:ascii="Times New Roman" w:hAnsi="Times New Roman" w:cs="Times New Roman"/>
        </w:rPr>
      </w:pPr>
      <w:r w:rsidRPr="009C79E3">
        <w:rPr>
          <w:rFonts w:ascii="Times New Roman" w:hAnsi="Times New Roman" w:cs="Times New Roman"/>
          <w:lang w:val="en-US"/>
        </w:rPr>
        <w:t>Delivery depots like Harlow can do item promotion and marketing to create more awareness about a product type.</w:t>
      </w:r>
    </w:p>
    <w:p w14:paraId="5206B4C9" w14:textId="77777777" w:rsidR="001B2648" w:rsidRPr="009C79E3" w:rsidRDefault="001B2648" w:rsidP="001B2648">
      <w:pPr>
        <w:pStyle w:val="ListParagraph"/>
        <w:numPr>
          <w:ilvl w:val="0"/>
          <w:numId w:val="2"/>
        </w:numPr>
        <w:jc w:val="both"/>
        <w:rPr>
          <w:rFonts w:ascii="Times New Roman" w:hAnsi="Times New Roman" w:cs="Times New Roman"/>
        </w:rPr>
      </w:pPr>
      <w:r>
        <w:rPr>
          <w:rFonts w:ascii="Times New Roman" w:hAnsi="Times New Roman" w:cs="Times New Roman"/>
        </w:rPr>
        <w:t>I</w:t>
      </w:r>
      <w:r w:rsidRPr="009C79E3">
        <w:rPr>
          <w:rFonts w:ascii="Times New Roman" w:hAnsi="Times New Roman" w:cs="Times New Roman"/>
        </w:rPr>
        <w:t xml:space="preserve">nvestigating causes for delays in specific areas or product </w:t>
      </w:r>
      <w:r w:rsidRPr="009C79E3">
        <w:rPr>
          <w:rFonts w:ascii="Times New Roman" w:hAnsi="Times New Roman" w:cs="Times New Roman"/>
          <w:lang w:val="en-US"/>
        </w:rPr>
        <w:t>types</w:t>
      </w:r>
      <w:r w:rsidRPr="009C79E3">
        <w:rPr>
          <w:rFonts w:ascii="Times New Roman" w:hAnsi="Times New Roman" w:cs="Times New Roman"/>
        </w:rPr>
        <w:t xml:space="preserve"> can help optimize delivery schedules and improve overall performance</w:t>
      </w:r>
      <w:r w:rsidRPr="009C79E3">
        <w:rPr>
          <w:rFonts w:ascii="Times New Roman" w:hAnsi="Times New Roman" w:cs="Times New Roman"/>
          <w:color w:val="374151"/>
        </w:rPr>
        <w:t>.</w:t>
      </w:r>
    </w:p>
    <w:p w14:paraId="66527582" w14:textId="77777777" w:rsidR="001B2648" w:rsidRPr="00A167BF" w:rsidRDefault="001B2648" w:rsidP="001B2648">
      <w:pPr>
        <w:pStyle w:val="ListParagraph"/>
        <w:numPr>
          <w:ilvl w:val="0"/>
          <w:numId w:val="2"/>
        </w:numPr>
        <w:jc w:val="both"/>
        <w:rPr>
          <w:rFonts w:ascii="Times New Roman" w:hAnsi="Times New Roman" w:cs="Times New Roman"/>
        </w:rPr>
      </w:pPr>
      <w:r w:rsidRPr="009C79E3">
        <w:rPr>
          <w:rFonts w:ascii="Times New Roman" w:hAnsi="Times New Roman" w:cs="Times New Roman"/>
          <w:lang w:val="en-US"/>
        </w:rPr>
        <w:t xml:space="preserve">Surveys should be sent out to find out which kitchen items people will want more. Based on our analysis kitchen cabinets have the highest percentage of items being used. </w:t>
      </w:r>
    </w:p>
    <w:p w14:paraId="4D3CDABB" w14:textId="0E4811FC" w:rsidR="004957DD" w:rsidRPr="001B2648" w:rsidRDefault="001B2648" w:rsidP="00DF5DD0">
      <w:pPr>
        <w:pStyle w:val="ListParagraph"/>
        <w:numPr>
          <w:ilvl w:val="0"/>
          <w:numId w:val="2"/>
        </w:numPr>
        <w:jc w:val="both"/>
        <w:rPr>
          <w:rFonts w:ascii="Times New Roman" w:hAnsi="Times New Roman" w:cs="Times New Roman"/>
        </w:rPr>
      </w:pPr>
      <w:r>
        <w:rPr>
          <w:rFonts w:ascii="Times New Roman" w:hAnsi="Times New Roman" w:cs="Times New Roman"/>
          <w:lang w:val="en-US"/>
        </w:rPr>
        <w:t>To enhance sales at depots like Preston Brook, Brand Tin, and Harlow, it’s crucial to ensure high-ranking depots do not experience item shortages, as this could impact customer satisfaction and hinder potential sales opportunities.</w:t>
      </w:r>
    </w:p>
    <w:p w14:paraId="432F9B15" w14:textId="77777777" w:rsidR="004957DD" w:rsidRDefault="004957DD" w:rsidP="00DF5DD0">
      <w:pPr>
        <w:jc w:val="both"/>
        <w:rPr>
          <w:lang w:val="en-US"/>
        </w:rPr>
      </w:pPr>
    </w:p>
    <w:p w14:paraId="303FB109" w14:textId="77777777" w:rsidR="00B606D3" w:rsidRPr="00B606D3" w:rsidRDefault="00B606D3" w:rsidP="00B606D3">
      <w:pPr>
        <w:jc w:val="both"/>
        <w:rPr>
          <w:lang w:val="en-US"/>
        </w:rPr>
      </w:pPr>
    </w:p>
    <w:p w14:paraId="54DB644A" w14:textId="77777777" w:rsidR="00DF5DD0" w:rsidRPr="001514BC" w:rsidRDefault="00DF5DD0">
      <w:pPr>
        <w:rPr>
          <w:lang w:val="en-US"/>
        </w:rPr>
      </w:pPr>
    </w:p>
    <w:sectPr w:rsidR="00DF5DD0" w:rsidRPr="00151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26C68"/>
    <w:multiLevelType w:val="hybridMultilevel"/>
    <w:tmpl w:val="1EC6067A"/>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0C2212"/>
    <w:multiLevelType w:val="hybridMultilevel"/>
    <w:tmpl w:val="AD46E6CC"/>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B1C31E6"/>
    <w:multiLevelType w:val="hybridMultilevel"/>
    <w:tmpl w:val="5CEE9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7323227">
    <w:abstractNumId w:val="2"/>
  </w:num>
  <w:num w:numId="2" w16cid:durableId="39864766">
    <w:abstractNumId w:val="0"/>
  </w:num>
  <w:num w:numId="3" w16cid:durableId="189303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BC"/>
    <w:rsid w:val="000762A6"/>
    <w:rsid w:val="000F1B19"/>
    <w:rsid w:val="00150AFE"/>
    <w:rsid w:val="001514BC"/>
    <w:rsid w:val="00180128"/>
    <w:rsid w:val="00187D40"/>
    <w:rsid w:val="001B2648"/>
    <w:rsid w:val="00245E64"/>
    <w:rsid w:val="00264B86"/>
    <w:rsid w:val="00272143"/>
    <w:rsid w:val="00277326"/>
    <w:rsid w:val="00387C36"/>
    <w:rsid w:val="003955E8"/>
    <w:rsid w:val="003B386E"/>
    <w:rsid w:val="00485E2B"/>
    <w:rsid w:val="004957DD"/>
    <w:rsid w:val="004D6C9E"/>
    <w:rsid w:val="005512F4"/>
    <w:rsid w:val="005B548F"/>
    <w:rsid w:val="00635A4E"/>
    <w:rsid w:val="006C1F1F"/>
    <w:rsid w:val="006E055F"/>
    <w:rsid w:val="007359D1"/>
    <w:rsid w:val="00740184"/>
    <w:rsid w:val="008007EA"/>
    <w:rsid w:val="00813F23"/>
    <w:rsid w:val="00846D20"/>
    <w:rsid w:val="00855330"/>
    <w:rsid w:val="00895124"/>
    <w:rsid w:val="008A319D"/>
    <w:rsid w:val="008D2326"/>
    <w:rsid w:val="009C77ED"/>
    <w:rsid w:val="00A03A94"/>
    <w:rsid w:val="00A456E4"/>
    <w:rsid w:val="00B3289B"/>
    <w:rsid w:val="00B606D3"/>
    <w:rsid w:val="00C37B32"/>
    <w:rsid w:val="00D8281D"/>
    <w:rsid w:val="00DF5DD0"/>
    <w:rsid w:val="00E11808"/>
    <w:rsid w:val="00E63923"/>
    <w:rsid w:val="00E92D59"/>
    <w:rsid w:val="00E94BCD"/>
    <w:rsid w:val="00F0691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D20A9"/>
  <w15:chartTrackingRefBased/>
  <w15:docId w15:val="{BD9F7DF5-47AF-4623-A466-B4F4A3B6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4BC"/>
    <w:rPr>
      <w:rFonts w:eastAsiaTheme="majorEastAsia" w:cstheme="majorBidi"/>
      <w:color w:val="272727" w:themeColor="text1" w:themeTint="D8"/>
    </w:rPr>
  </w:style>
  <w:style w:type="paragraph" w:styleId="Title">
    <w:name w:val="Title"/>
    <w:basedOn w:val="Normal"/>
    <w:next w:val="Normal"/>
    <w:link w:val="TitleChar"/>
    <w:uiPriority w:val="10"/>
    <w:qFormat/>
    <w:rsid w:val="00151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4BC"/>
    <w:pPr>
      <w:spacing w:before="160"/>
      <w:jc w:val="center"/>
    </w:pPr>
    <w:rPr>
      <w:i/>
      <w:iCs/>
      <w:color w:val="404040" w:themeColor="text1" w:themeTint="BF"/>
    </w:rPr>
  </w:style>
  <w:style w:type="character" w:customStyle="1" w:styleId="QuoteChar">
    <w:name w:val="Quote Char"/>
    <w:basedOn w:val="DefaultParagraphFont"/>
    <w:link w:val="Quote"/>
    <w:uiPriority w:val="29"/>
    <w:rsid w:val="001514BC"/>
    <w:rPr>
      <w:i/>
      <w:iCs/>
      <w:color w:val="404040" w:themeColor="text1" w:themeTint="BF"/>
    </w:rPr>
  </w:style>
  <w:style w:type="paragraph" w:styleId="ListParagraph">
    <w:name w:val="List Paragraph"/>
    <w:basedOn w:val="Normal"/>
    <w:uiPriority w:val="34"/>
    <w:qFormat/>
    <w:rsid w:val="001514BC"/>
    <w:pPr>
      <w:ind w:left="720"/>
      <w:contextualSpacing/>
    </w:pPr>
  </w:style>
  <w:style w:type="character" w:styleId="IntenseEmphasis">
    <w:name w:val="Intense Emphasis"/>
    <w:basedOn w:val="DefaultParagraphFont"/>
    <w:uiPriority w:val="21"/>
    <w:qFormat/>
    <w:rsid w:val="001514BC"/>
    <w:rPr>
      <w:i/>
      <w:iCs/>
      <w:color w:val="0F4761" w:themeColor="accent1" w:themeShade="BF"/>
    </w:rPr>
  </w:style>
  <w:style w:type="paragraph" w:styleId="IntenseQuote">
    <w:name w:val="Intense Quote"/>
    <w:basedOn w:val="Normal"/>
    <w:next w:val="Normal"/>
    <w:link w:val="IntenseQuoteChar"/>
    <w:uiPriority w:val="30"/>
    <w:qFormat/>
    <w:rsid w:val="00151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4BC"/>
    <w:rPr>
      <w:i/>
      <w:iCs/>
      <w:color w:val="0F4761" w:themeColor="accent1" w:themeShade="BF"/>
    </w:rPr>
  </w:style>
  <w:style w:type="character" w:styleId="IntenseReference">
    <w:name w:val="Intense Reference"/>
    <w:basedOn w:val="DefaultParagraphFont"/>
    <w:uiPriority w:val="32"/>
    <w:qFormat/>
    <w:rsid w:val="001514BC"/>
    <w:rPr>
      <w:b/>
      <w:bCs/>
      <w:smallCaps/>
      <w:color w:val="0F4761" w:themeColor="accent1" w:themeShade="BF"/>
      <w:spacing w:val="5"/>
    </w:rPr>
  </w:style>
  <w:style w:type="paragraph" w:styleId="NormalWeb">
    <w:name w:val="Normal (Web)"/>
    <w:basedOn w:val="Normal"/>
    <w:uiPriority w:val="99"/>
    <w:semiHidden/>
    <w:unhideWhenUsed/>
    <w:rsid w:val="00277326"/>
    <w:pPr>
      <w:spacing w:before="100" w:beforeAutospacing="1" w:after="100" w:afterAutospacing="1" w:line="240" w:lineRule="auto"/>
    </w:pPr>
    <w:rPr>
      <w:rFonts w:ascii="Times New Roman" w:eastAsia="Times New Roman" w:hAnsi="Times New Roman" w:cs="Times New Roman"/>
      <w:kern w:val="0"/>
      <w:la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3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ioluwa\Downloads\Data%20for%20candidate%20assesment%20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nioluwa\Downloads\Data%20for%20candidate%20assesment%20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nioluwa\Downloads\Data%20for%20candidate%20assesment%20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nioluwa\Downloads\Data%20for%20candidate%20assesment%20v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nioluwa\Downloads\Data%20for%20candidate%20assesment%20v2.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nioluwa\Downloads\Data%20for%20candidate%20assesment%20v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for candidate assesment v2.xlsx]Analysis!Orders by Delivery depot by month table</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chemeClr val="bg1"/>
                </a:solidFill>
              </a:rPr>
              <a:t>Total number of orders by Delivery Depot per Month</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solidFill>
                <a:schemeClr val="bg1"/>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NG"/>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Analysis!$B$24:$B$25</c:f>
              <c:strCache>
                <c:ptCount val="1"/>
                <c:pt idx="0">
                  <c:v>Jan/24</c:v>
                </c:pt>
              </c:strCache>
            </c:strRef>
          </c:tx>
          <c:spPr>
            <a:ln w="28575" cap="rnd">
              <a:solidFill>
                <a:schemeClr val="accent1"/>
              </a:solidFill>
              <a:round/>
            </a:ln>
            <a:effectLst/>
          </c:spPr>
          <c:marker>
            <c:symbol val="none"/>
          </c:marker>
          <c:cat>
            <c:strRef>
              <c:f>Analysis!$A$26:$A$37</c:f>
              <c:strCache>
                <c:ptCount val="11"/>
                <c:pt idx="0">
                  <c:v>Aberdeen</c:v>
                </c:pt>
                <c:pt idx="1">
                  <c:v>Branston</c:v>
                </c:pt>
                <c:pt idx="2">
                  <c:v>Bristol</c:v>
                </c:pt>
                <c:pt idx="3">
                  <c:v>Cambuslang</c:v>
                </c:pt>
                <c:pt idx="4">
                  <c:v>Doncaster</c:v>
                </c:pt>
                <c:pt idx="5">
                  <c:v>Exeter</c:v>
                </c:pt>
                <c:pt idx="6">
                  <c:v>Gateshead</c:v>
                </c:pt>
                <c:pt idx="7">
                  <c:v>Harlow</c:v>
                </c:pt>
                <c:pt idx="8">
                  <c:v>Preston Brook</c:v>
                </c:pt>
                <c:pt idx="9">
                  <c:v>Southampton</c:v>
                </c:pt>
                <c:pt idx="10">
                  <c:v>T Wells</c:v>
                </c:pt>
              </c:strCache>
            </c:strRef>
          </c:cat>
          <c:val>
            <c:numRef>
              <c:f>Analysis!$B$26:$B$37</c:f>
              <c:numCache>
                <c:formatCode>General</c:formatCode>
                <c:ptCount val="11"/>
                <c:pt idx="0">
                  <c:v>14</c:v>
                </c:pt>
                <c:pt idx="1">
                  <c:v>225</c:v>
                </c:pt>
                <c:pt idx="2">
                  <c:v>109</c:v>
                </c:pt>
                <c:pt idx="3">
                  <c:v>70</c:v>
                </c:pt>
                <c:pt idx="4">
                  <c:v>123</c:v>
                </c:pt>
                <c:pt idx="5">
                  <c:v>50</c:v>
                </c:pt>
                <c:pt idx="6">
                  <c:v>59</c:v>
                </c:pt>
                <c:pt idx="7">
                  <c:v>218</c:v>
                </c:pt>
                <c:pt idx="8">
                  <c:v>171</c:v>
                </c:pt>
                <c:pt idx="9">
                  <c:v>114</c:v>
                </c:pt>
                <c:pt idx="10">
                  <c:v>81</c:v>
                </c:pt>
              </c:numCache>
            </c:numRef>
          </c:val>
          <c:smooth val="1"/>
          <c:extLst>
            <c:ext xmlns:c16="http://schemas.microsoft.com/office/drawing/2014/chart" uri="{C3380CC4-5D6E-409C-BE32-E72D297353CC}">
              <c16:uniqueId val="{00000000-FE50-452E-8B3E-DBD4364C74C8}"/>
            </c:ext>
          </c:extLst>
        </c:ser>
        <c:dLbls>
          <c:showLegendKey val="0"/>
          <c:showVal val="0"/>
          <c:showCatName val="0"/>
          <c:showSerName val="0"/>
          <c:showPercent val="0"/>
          <c:showBubbleSize val="0"/>
        </c:dLbls>
        <c:smooth val="0"/>
        <c:axId val="410288408"/>
        <c:axId val="410289128"/>
      </c:lineChart>
      <c:catAx>
        <c:axId val="41028840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crossAx val="410289128"/>
        <c:crosses val="autoZero"/>
        <c:auto val="1"/>
        <c:lblAlgn val="ctr"/>
        <c:lblOffset val="100"/>
        <c:noMultiLvlLbl val="0"/>
      </c:catAx>
      <c:valAx>
        <c:axId val="410289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crossAx val="410288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no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for candidate assesment v2.xlsx]Analysis!Orders by delivery depot table </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a:solidFill>
                  <a:schemeClr val="bg1"/>
                </a:solidFill>
              </a:rPr>
              <a:t>Total</a:t>
            </a:r>
            <a:r>
              <a:rPr lang="en-US" baseline="0">
                <a:solidFill>
                  <a:schemeClr val="bg1"/>
                </a:solidFill>
              </a:rPr>
              <a:t> number of orders by delivery depot</a:t>
            </a:r>
            <a:endParaRPr lang="en-US">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NG"/>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Analysis!$B$3</c:f>
              <c:strCache>
                <c:ptCount val="1"/>
                <c:pt idx="0">
                  <c:v>Total</c:v>
                </c:pt>
              </c:strCache>
            </c:strRef>
          </c:tx>
          <c:spPr>
            <a:solidFill>
              <a:schemeClr val="accent1"/>
            </a:solidFill>
            <a:ln>
              <a:noFill/>
            </a:ln>
            <a:effectLst/>
          </c:spPr>
          <c:invertIfNegative val="0"/>
          <c:cat>
            <c:strRef>
              <c:f>Analysis!$A$4:$A$15</c:f>
              <c:strCache>
                <c:ptCount val="11"/>
                <c:pt idx="0">
                  <c:v>Aberdeen</c:v>
                </c:pt>
                <c:pt idx="1">
                  <c:v>Branston</c:v>
                </c:pt>
                <c:pt idx="2">
                  <c:v>Bristol</c:v>
                </c:pt>
                <c:pt idx="3">
                  <c:v>Cambuslang</c:v>
                </c:pt>
                <c:pt idx="4">
                  <c:v>Doncaster</c:v>
                </c:pt>
                <c:pt idx="5">
                  <c:v>Exeter</c:v>
                </c:pt>
                <c:pt idx="6">
                  <c:v>Gateshead</c:v>
                </c:pt>
                <c:pt idx="7">
                  <c:v>Harlow</c:v>
                </c:pt>
                <c:pt idx="8">
                  <c:v>Preston Brook</c:v>
                </c:pt>
                <c:pt idx="9">
                  <c:v>Southampton</c:v>
                </c:pt>
                <c:pt idx="10">
                  <c:v>T Wells</c:v>
                </c:pt>
              </c:strCache>
            </c:strRef>
          </c:cat>
          <c:val>
            <c:numRef>
              <c:f>Analysis!$B$4:$B$15</c:f>
              <c:numCache>
                <c:formatCode>General</c:formatCode>
                <c:ptCount val="11"/>
                <c:pt idx="0">
                  <c:v>717</c:v>
                </c:pt>
                <c:pt idx="1">
                  <c:v>4787</c:v>
                </c:pt>
                <c:pt idx="2">
                  <c:v>3520</c:v>
                </c:pt>
                <c:pt idx="3">
                  <c:v>2420</c:v>
                </c:pt>
                <c:pt idx="4">
                  <c:v>3463</c:v>
                </c:pt>
                <c:pt idx="5">
                  <c:v>1368</c:v>
                </c:pt>
                <c:pt idx="6">
                  <c:v>1855</c:v>
                </c:pt>
                <c:pt idx="7">
                  <c:v>4649</c:v>
                </c:pt>
                <c:pt idx="8">
                  <c:v>5044</c:v>
                </c:pt>
                <c:pt idx="9">
                  <c:v>2974</c:v>
                </c:pt>
                <c:pt idx="10">
                  <c:v>1941</c:v>
                </c:pt>
              </c:numCache>
            </c:numRef>
          </c:val>
          <c:extLst>
            <c:ext xmlns:c16="http://schemas.microsoft.com/office/drawing/2014/chart" uri="{C3380CC4-5D6E-409C-BE32-E72D297353CC}">
              <c16:uniqueId val="{00000000-322D-4902-804B-51FF35B34A4C}"/>
            </c:ext>
          </c:extLst>
        </c:ser>
        <c:dLbls>
          <c:showLegendKey val="0"/>
          <c:showVal val="0"/>
          <c:showCatName val="0"/>
          <c:showSerName val="0"/>
          <c:showPercent val="0"/>
          <c:showBubbleSize val="0"/>
        </c:dLbls>
        <c:gapWidth val="219"/>
        <c:overlap val="-27"/>
        <c:axId val="774378272"/>
        <c:axId val="774379712"/>
      </c:barChart>
      <c:catAx>
        <c:axId val="77437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crossAx val="774379712"/>
        <c:crosses val="autoZero"/>
        <c:auto val="1"/>
        <c:lblAlgn val="ctr"/>
        <c:lblOffset val="100"/>
        <c:noMultiLvlLbl val="0"/>
      </c:catAx>
      <c:valAx>
        <c:axId val="77437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crossAx val="77437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no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for candidate assesment v2.xlsx]Analysis!Sum of Total Kitchen items by Depot table </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baseline="0">
                <a:solidFill>
                  <a:schemeClr val="bg1"/>
                </a:solidFill>
              </a:rPr>
              <a:t>Sum of Kitchen items by depot</a:t>
            </a:r>
            <a:endParaRPr lang="en-US">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NG"/>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Analysis!$F$5</c:f>
              <c:strCache>
                <c:ptCount val="1"/>
                <c:pt idx="0">
                  <c:v>Total</c:v>
                </c:pt>
              </c:strCache>
            </c:strRef>
          </c:tx>
          <c:spPr>
            <a:solidFill>
              <a:schemeClr val="accent1"/>
            </a:solidFill>
            <a:ln>
              <a:noFill/>
            </a:ln>
            <a:effectLst/>
          </c:spPr>
          <c:invertIfNegative val="0"/>
          <c:cat>
            <c:strRef>
              <c:f>Analysis!$E$6:$E$17</c:f>
              <c:strCache>
                <c:ptCount val="11"/>
                <c:pt idx="0">
                  <c:v>Aberdeen</c:v>
                </c:pt>
                <c:pt idx="1">
                  <c:v>Branston</c:v>
                </c:pt>
                <c:pt idx="2">
                  <c:v>Bristol</c:v>
                </c:pt>
                <c:pt idx="3">
                  <c:v>Cambuslang</c:v>
                </c:pt>
                <c:pt idx="4">
                  <c:v>Doncaster</c:v>
                </c:pt>
                <c:pt idx="5">
                  <c:v>Exeter</c:v>
                </c:pt>
                <c:pt idx="6">
                  <c:v>Gateshead</c:v>
                </c:pt>
                <c:pt idx="7">
                  <c:v>Harlow</c:v>
                </c:pt>
                <c:pt idx="8">
                  <c:v>Preston Brook</c:v>
                </c:pt>
                <c:pt idx="9">
                  <c:v>Southampton</c:v>
                </c:pt>
                <c:pt idx="10">
                  <c:v>T Wells</c:v>
                </c:pt>
              </c:strCache>
            </c:strRef>
          </c:cat>
          <c:val>
            <c:numRef>
              <c:f>Analysis!$F$6:$F$17</c:f>
              <c:numCache>
                <c:formatCode>General</c:formatCode>
                <c:ptCount val="11"/>
                <c:pt idx="0">
                  <c:v>14754</c:v>
                </c:pt>
                <c:pt idx="1">
                  <c:v>97151</c:v>
                </c:pt>
                <c:pt idx="2">
                  <c:v>68125</c:v>
                </c:pt>
                <c:pt idx="3">
                  <c:v>48743</c:v>
                </c:pt>
                <c:pt idx="4">
                  <c:v>70650</c:v>
                </c:pt>
                <c:pt idx="5">
                  <c:v>25457</c:v>
                </c:pt>
                <c:pt idx="6">
                  <c:v>37847</c:v>
                </c:pt>
                <c:pt idx="7">
                  <c:v>84937</c:v>
                </c:pt>
                <c:pt idx="8">
                  <c:v>101158</c:v>
                </c:pt>
                <c:pt idx="9">
                  <c:v>52955</c:v>
                </c:pt>
                <c:pt idx="10">
                  <c:v>33495</c:v>
                </c:pt>
              </c:numCache>
            </c:numRef>
          </c:val>
          <c:extLst>
            <c:ext xmlns:c16="http://schemas.microsoft.com/office/drawing/2014/chart" uri="{C3380CC4-5D6E-409C-BE32-E72D297353CC}">
              <c16:uniqueId val="{00000000-116C-419C-904B-424C1DB122F5}"/>
            </c:ext>
          </c:extLst>
        </c:ser>
        <c:dLbls>
          <c:showLegendKey val="0"/>
          <c:showVal val="0"/>
          <c:showCatName val="0"/>
          <c:showSerName val="0"/>
          <c:showPercent val="0"/>
          <c:showBubbleSize val="0"/>
        </c:dLbls>
        <c:gapWidth val="219"/>
        <c:overlap val="-27"/>
        <c:axId val="593635912"/>
        <c:axId val="593636272"/>
      </c:barChart>
      <c:catAx>
        <c:axId val="593635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crossAx val="593636272"/>
        <c:crosses val="autoZero"/>
        <c:auto val="1"/>
        <c:lblAlgn val="ctr"/>
        <c:lblOffset val="100"/>
        <c:noMultiLvlLbl val="0"/>
      </c:catAx>
      <c:valAx>
        <c:axId val="59363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crossAx val="593635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no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for candidate assesment v2.xlsx]Analysis!Sum of Total Kitchen Depots by month table</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baseline="0">
                <a:solidFill>
                  <a:schemeClr val="bg1"/>
                </a:solidFill>
              </a:rPr>
              <a:t>Total of Kitchen items sold per Month</a:t>
            </a:r>
            <a:endParaRPr lang="en-US">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NG"/>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Analysis!$I$14</c:f>
              <c:strCache>
                <c:ptCount val="1"/>
                <c:pt idx="0">
                  <c:v>Total</c:v>
                </c:pt>
              </c:strCache>
            </c:strRef>
          </c:tx>
          <c:spPr>
            <a:ln w="28575" cap="rnd">
              <a:solidFill>
                <a:schemeClr val="accent1"/>
              </a:solidFill>
              <a:round/>
            </a:ln>
            <a:effectLst/>
          </c:spPr>
          <c:marker>
            <c:symbol val="none"/>
          </c:marker>
          <c:cat>
            <c:strRef>
              <c:f>Analysis!$H$15:$H$19</c:f>
              <c:strCache>
                <c:ptCount val="4"/>
                <c:pt idx="0">
                  <c:v>Oct/23</c:v>
                </c:pt>
                <c:pt idx="1">
                  <c:v>Nov/23</c:v>
                </c:pt>
                <c:pt idx="2">
                  <c:v>Dec/23</c:v>
                </c:pt>
                <c:pt idx="3">
                  <c:v>Jan/24</c:v>
                </c:pt>
              </c:strCache>
            </c:strRef>
          </c:cat>
          <c:val>
            <c:numRef>
              <c:f>Analysis!$I$15:$I$19</c:f>
              <c:numCache>
                <c:formatCode>General</c:formatCode>
                <c:ptCount val="4"/>
                <c:pt idx="0">
                  <c:v>161343</c:v>
                </c:pt>
                <c:pt idx="1">
                  <c:v>245993</c:v>
                </c:pt>
                <c:pt idx="2">
                  <c:v>197404</c:v>
                </c:pt>
                <c:pt idx="3">
                  <c:v>30532</c:v>
                </c:pt>
              </c:numCache>
            </c:numRef>
          </c:val>
          <c:smooth val="0"/>
          <c:extLst>
            <c:ext xmlns:c16="http://schemas.microsoft.com/office/drawing/2014/chart" uri="{C3380CC4-5D6E-409C-BE32-E72D297353CC}">
              <c16:uniqueId val="{00000000-B92F-4F3E-992A-8FC6FB706771}"/>
            </c:ext>
          </c:extLst>
        </c:ser>
        <c:dLbls>
          <c:showLegendKey val="0"/>
          <c:showVal val="0"/>
          <c:showCatName val="0"/>
          <c:showSerName val="0"/>
          <c:showPercent val="0"/>
          <c:showBubbleSize val="0"/>
        </c:dLbls>
        <c:smooth val="0"/>
        <c:axId val="780789584"/>
        <c:axId val="780789224"/>
      </c:lineChart>
      <c:catAx>
        <c:axId val="78078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crossAx val="780789224"/>
        <c:crosses val="autoZero"/>
        <c:auto val="1"/>
        <c:lblAlgn val="ctr"/>
        <c:lblOffset val="100"/>
        <c:noMultiLvlLbl val="0"/>
      </c:catAx>
      <c:valAx>
        <c:axId val="780789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crossAx val="780789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no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for candidate assesment v2.xlsx]Analysis!Orders of delivery depot by month table</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a:t>Timeliness of delivery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NG"/>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5400">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Analysis!$L$5:$L$6</c:f>
              <c:strCache>
                <c:ptCount val="1"/>
                <c:pt idx="0">
                  <c:v>Early</c:v>
                </c:pt>
              </c:strCache>
            </c:strRef>
          </c:tx>
          <c:spPr>
            <a:solidFill>
              <a:schemeClr val="accent1"/>
            </a:solidFill>
            <a:ln>
              <a:noFill/>
            </a:ln>
            <a:effectLst/>
          </c:spPr>
          <c:invertIfNegative val="0"/>
          <c:cat>
            <c:strRef>
              <c:f>Analysis!$K$7:$K$18</c:f>
              <c:strCache>
                <c:ptCount val="11"/>
                <c:pt idx="0">
                  <c:v>Aberdeen</c:v>
                </c:pt>
                <c:pt idx="1">
                  <c:v>Branston</c:v>
                </c:pt>
                <c:pt idx="2">
                  <c:v>Bristol</c:v>
                </c:pt>
                <c:pt idx="3">
                  <c:v>Cambuslang</c:v>
                </c:pt>
                <c:pt idx="4">
                  <c:v>Doncaster</c:v>
                </c:pt>
                <c:pt idx="5">
                  <c:v>Exeter</c:v>
                </c:pt>
                <c:pt idx="6">
                  <c:v>Gateshead</c:v>
                </c:pt>
                <c:pt idx="7">
                  <c:v>Harlow</c:v>
                </c:pt>
                <c:pt idx="8">
                  <c:v>Preston Brook</c:v>
                </c:pt>
                <c:pt idx="9">
                  <c:v>Southampton</c:v>
                </c:pt>
                <c:pt idx="10">
                  <c:v>T Wells</c:v>
                </c:pt>
              </c:strCache>
            </c:strRef>
          </c:cat>
          <c:val>
            <c:numRef>
              <c:f>Analysis!$L$7:$L$18</c:f>
              <c:numCache>
                <c:formatCode>General</c:formatCode>
                <c:ptCount val="11"/>
                <c:pt idx="0">
                  <c:v>555</c:v>
                </c:pt>
                <c:pt idx="1">
                  <c:v>3821</c:v>
                </c:pt>
                <c:pt idx="2">
                  <c:v>2858</c:v>
                </c:pt>
                <c:pt idx="3">
                  <c:v>1858</c:v>
                </c:pt>
                <c:pt idx="4">
                  <c:v>2709</c:v>
                </c:pt>
                <c:pt idx="5">
                  <c:v>1149</c:v>
                </c:pt>
                <c:pt idx="6">
                  <c:v>1569</c:v>
                </c:pt>
                <c:pt idx="7">
                  <c:v>4039</c:v>
                </c:pt>
                <c:pt idx="8">
                  <c:v>4591</c:v>
                </c:pt>
                <c:pt idx="9">
                  <c:v>2338</c:v>
                </c:pt>
                <c:pt idx="10">
                  <c:v>1536</c:v>
                </c:pt>
              </c:numCache>
            </c:numRef>
          </c:val>
          <c:extLst>
            <c:ext xmlns:c16="http://schemas.microsoft.com/office/drawing/2014/chart" uri="{C3380CC4-5D6E-409C-BE32-E72D297353CC}">
              <c16:uniqueId val="{00000000-C40C-43F1-99DB-7106CD7DE5C6}"/>
            </c:ext>
          </c:extLst>
        </c:ser>
        <c:ser>
          <c:idx val="1"/>
          <c:order val="1"/>
          <c:tx>
            <c:strRef>
              <c:f>Analysis!$M$5:$M$6</c:f>
              <c:strCache>
                <c:ptCount val="1"/>
                <c:pt idx="0">
                  <c:v>Late</c:v>
                </c:pt>
              </c:strCache>
            </c:strRef>
          </c:tx>
          <c:spPr>
            <a:solidFill>
              <a:schemeClr val="accent2"/>
            </a:solidFill>
            <a:ln>
              <a:noFill/>
            </a:ln>
            <a:effectLst/>
          </c:spPr>
          <c:invertIfNegative val="0"/>
          <c:cat>
            <c:strRef>
              <c:f>Analysis!$K$7:$K$18</c:f>
              <c:strCache>
                <c:ptCount val="11"/>
                <c:pt idx="0">
                  <c:v>Aberdeen</c:v>
                </c:pt>
                <c:pt idx="1">
                  <c:v>Branston</c:v>
                </c:pt>
                <c:pt idx="2">
                  <c:v>Bristol</c:v>
                </c:pt>
                <c:pt idx="3">
                  <c:v>Cambuslang</c:v>
                </c:pt>
                <c:pt idx="4">
                  <c:v>Doncaster</c:v>
                </c:pt>
                <c:pt idx="5">
                  <c:v>Exeter</c:v>
                </c:pt>
                <c:pt idx="6">
                  <c:v>Gateshead</c:v>
                </c:pt>
                <c:pt idx="7">
                  <c:v>Harlow</c:v>
                </c:pt>
                <c:pt idx="8">
                  <c:v>Preston Brook</c:v>
                </c:pt>
                <c:pt idx="9">
                  <c:v>Southampton</c:v>
                </c:pt>
                <c:pt idx="10">
                  <c:v>T Wells</c:v>
                </c:pt>
              </c:strCache>
            </c:strRef>
          </c:cat>
          <c:val>
            <c:numRef>
              <c:f>Analysis!$M$7:$M$18</c:f>
              <c:numCache>
                <c:formatCode>General</c:formatCode>
                <c:ptCount val="11"/>
                <c:pt idx="0">
                  <c:v>136</c:v>
                </c:pt>
                <c:pt idx="1">
                  <c:v>947</c:v>
                </c:pt>
                <c:pt idx="2">
                  <c:v>656</c:v>
                </c:pt>
                <c:pt idx="3">
                  <c:v>489</c:v>
                </c:pt>
                <c:pt idx="4">
                  <c:v>713</c:v>
                </c:pt>
                <c:pt idx="5">
                  <c:v>219</c:v>
                </c:pt>
                <c:pt idx="6">
                  <c:v>200</c:v>
                </c:pt>
                <c:pt idx="7">
                  <c:v>588</c:v>
                </c:pt>
                <c:pt idx="8">
                  <c:v>435</c:v>
                </c:pt>
                <c:pt idx="9">
                  <c:v>615</c:v>
                </c:pt>
                <c:pt idx="10">
                  <c:v>398</c:v>
                </c:pt>
              </c:numCache>
            </c:numRef>
          </c:val>
          <c:extLst>
            <c:ext xmlns:c16="http://schemas.microsoft.com/office/drawing/2014/chart" uri="{C3380CC4-5D6E-409C-BE32-E72D297353CC}">
              <c16:uniqueId val="{00000001-C40C-43F1-99DB-7106CD7DE5C6}"/>
            </c:ext>
          </c:extLst>
        </c:ser>
        <c:ser>
          <c:idx val="2"/>
          <c:order val="2"/>
          <c:tx>
            <c:strRef>
              <c:f>Analysis!$N$5:$N$6</c:f>
              <c:strCache>
                <c:ptCount val="1"/>
                <c:pt idx="0">
                  <c:v>Not Provided</c:v>
                </c:pt>
              </c:strCache>
            </c:strRef>
          </c:tx>
          <c:spPr>
            <a:solidFill>
              <a:schemeClr val="accent3"/>
            </a:solidFill>
            <a:ln>
              <a:noFill/>
            </a:ln>
            <a:effectLst/>
          </c:spPr>
          <c:invertIfNegative val="0"/>
          <c:cat>
            <c:strRef>
              <c:f>Analysis!$K$7:$K$18</c:f>
              <c:strCache>
                <c:ptCount val="11"/>
                <c:pt idx="0">
                  <c:v>Aberdeen</c:v>
                </c:pt>
                <c:pt idx="1">
                  <c:v>Branston</c:v>
                </c:pt>
                <c:pt idx="2">
                  <c:v>Bristol</c:v>
                </c:pt>
                <c:pt idx="3">
                  <c:v>Cambuslang</c:v>
                </c:pt>
                <c:pt idx="4">
                  <c:v>Doncaster</c:v>
                </c:pt>
                <c:pt idx="5">
                  <c:v>Exeter</c:v>
                </c:pt>
                <c:pt idx="6">
                  <c:v>Gateshead</c:v>
                </c:pt>
                <c:pt idx="7">
                  <c:v>Harlow</c:v>
                </c:pt>
                <c:pt idx="8">
                  <c:v>Preston Brook</c:v>
                </c:pt>
                <c:pt idx="9">
                  <c:v>Southampton</c:v>
                </c:pt>
                <c:pt idx="10">
                  <c:v>T Wells</c:v>
                </c:pt>
              </c:strCache>
            </c:strRef>
          </c:cat>
          <c:val>
            <c:numRef>
              <c:f>Analysis!$N$7:$N$18</c:f>
              <c:numCache>
                <c:formatCode>General</c:formatCode>
                <c:ptCount val="11"/>
                <c:pt idx="0">
                  <c:v>26</c:v>
                </c:pt>
                <c:pt idx="1">
                  <c:v>19</c:v>
                </c:pt>
                <c:pt idx="2">
                  <c:v>6</c:v>
                </c:pt>
                <c:pt idx="3">
                  <c:v>73</c:v>
                </c:pt>
                <c:pt idx="4">
                  <c:v>41</c:v>
                </c:pt>
                <c:pt idx="6">
                  <c:v>86</c:v>
                </c:pt>
                <c:pt idx="7">
                  <c:v>22</c:v>
                </c:pt>
                <c:pt idx="8">
                  <c:v>18</c:v>
                </c:pt>
                <c:pt idx="9">
                  <c:v>21</c:v>
                </c:pt>
                <c:pt idx="10">
                  <c:v>7</c:v>
                </c:pt>
              </c:numCache>
            </c:numRef>
          </c:val>
          <c:extLst>
            <c:ext xmlns:c16="http://schemas.microsoft.com/office/drawing/2014/chart" uri="{C3380CC4-5D6E-409C-BE32-E72D297353CC}">
              <c16:uniqueId val="{00000007-C40C-43F1-99DB-7106CD7DE5C6}"/>
            </c:ext>
          </c:extLst>
        </c:ser>
        <c:dLbls>
          <c:showLegendKey val="0"/>
          <c:showVal val="0"/>
          <c:showCatName val="0"/>
          <c:showSerName val="0"/>
          <c:showPercent val="0"/>
          <c:showBubbleSize val="0"/>
        </c:dLbls>
        <c:gapWidth val="150"/>
        <c:overlap val="100"/>
        <c:axId val="565776608"/>
        <c:axId val="565774448"/>
      </c:barChart>
      <c:catAx>
        <c:axId val="56577660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crossAx val="565774448"/>
        <c:crosses val="autoZero"/>
        <c:auto val="1"/>
        <c:lblAlgn val="ctr"/>
        <c:lblOffset val="100"/>
        <c:noMultiLvlLbl val="0"/>
      </c:catAx>
      <c:valAx>
        <c:axId val="565774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crossAx val="565776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NG"/>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noFill/>
      <a:round/>
    </a:ln>
    <a:effectLst/>
  </c:spPr>
  <c:txPr>
    <a:bodyPr/>
    <a:lstStyle/>
    <a:p>
      <a:pPr>
        <a:defRPr>
          <a:solidFill>
            <a:schemeClr val="bg1"/>
          </a:solidFill>
        </a:defRPr>
      </a:pPr>
      <a:endParaRPr lang="en-NG"/>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chemeClr val="bg1"/>
                </a:solidFill>
                <a:latin typeface="+mn-lt"/>
                <a:ea typeface="+mn-ea"/>
                <a:cs typeface="+mn-cs"/>
              </a:defRPr>
            </a:pPr>
            <a:r>
              <a:rPr lang="en-GB" sz="1400" b="0" i="0" u="none" strike="noStrike" kern="1200" spc="0" baseline="0">
                <a:solidFill>
                  <a:schemeClr val="bg1"/>
                </a:solidFill>
              </a:rPr>
              <a:t>Distribution percentage of kitchen items </a:t>
            </a:r>
          </a:p>
          <a:p>
            <a:pPr marL="0" marR="0" lvl="0" indent="0" algn="ctr" defTabSz="914400" rtl="0" eaLnBrk="1" fontAlgn="auto" latinLnBrk="0" hangingPunct="1">
              <a:lnSpc>
                <a:spcPct val="100000"/>
              </a:lnSpc>
              <a:spcBef>
                <a:spcPts val="0"/>
              </a:spcBef>
              <a:spcAft>
                <a:spcPts val="0"/>
              </a:spcAft>
              <a:buClrTx/>
              <a:buSzTx/>
              <a:buFontTx/>
              <a:buNone/>
              <a:tabLst/>
              <a:defRPr>
                <a:solidFill>
                  <a:schemeClr val="bg1"/>
                </a:solidFill>
              </a:defRPr>
            </a:pPr>
            <a:endParaRPr lang="en-US">
              <a:solidFill>
                <a:schemeClr val="bg1"/>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chemeClr val="bg1"/>
              </a:solidFill>
              <a:latin typeface="+mn-lt"/>
              <a:ea typeface="+mn-ea"/>
              <a:cs typeface="+mn-cs"/>
            </a:defRPr>
          </a:pPr>
          <a:endParaRPr lang="en-NG"/>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045-43FF-A5E8-2100A5D443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045-43FF-A5E8-2100A5D4433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045-43FF-A5E8-2100A5D4433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045-43FF-A5E8-2100A5D443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Analysis!$I$25:$I$28</c:f>
              <c:strCache>
                <c:ptCount val="4"/>
                <c:pt idx="0">
                  <c:v>Kitchen Cabinet items </c:v>
                </c:pt>
                <c:pt idx="1">
                  <c:v>Kitchen Worktops</c:v>
                </c:pt>
                <c:pt idx="2">
                  <c:v>Long Kitchen items</c:v>
                </c:pt>
                <c:pt idx="3">
                  <c:v>Kitchen Appliances </c:v>
                </c:pt>
              </c:strCache>
            </c:strRef>
          </c:cat>
          <c:val>
            <c:numRef>
              <c:f>Analysis!$K$25:$K$28</c:f>
              <c:numCache>
                <c:formatCode>0%</c:formatCode>
                <c:ptCount val="4"/>
                <c:pt idx="0">
                  <c:v>0.8141048243901825</c:v>
                </c:pt>
                <c:pt idx="1">
                  <c:v>7.1356836126887382E-2</c:v>
                </c:pt>
                <c:pt idx="2">
                  <c:v>9.495932450981627E-2</c:v>
                </c:pt>
                <c:pt idx="3">
                  <c:v>1.957901497311388E-2</c:v>
                </c:pt>
              </c:numCache>
            </c:numRef>
          </c:val>
          <c:extLst>
            <c:ext xmlns:c16="http://schemas.microsoft.com/office/drawing/2014/chart" uri="{C3380CC4-5D6E-409C-BE32-E72D297353CC}">
              <c16:uniqueId val="{00000008-4045-43FF-A5E8-2100A5D4433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legend>
    <c:plotVisOnly val="1"/>
    <c:dispBlanksAs val="gap"/>
    <c:showDLblsOverMax val="0"/>
  </c:chart>
  <c:spPr>
    <a:solidFill>
      <a:schemeClr val="tx1"/>
    </a:solidFill>
    <a:ln w="9525" cap="flat" cmpd="sng" algn="ctr">
      <a:noFill/>
      <a:round/>
    </a:ln>
    <a:effectLst/>
  </c:spPr>
  <c:txPr>
    <a:bodyPr/>
    <a:lstStyle/>
    <a:p>
      <a:pPr>
        <a:defRPr/>
      </a:pPr>
      <a:endParaRPr lang="en-N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cdr:x>
      <cdr:y>0.34466</cdr:y>
    </cdr:from>
    <cdr:to>
      <cdr:x>0.6</cdr:x>
      <cdr:y>0.65534</cdr:y>
    </cdr:to>
    <cdr:sp macro="" textlink="">
      <cdr:nvSpPr>
        <cdr:cNvPr id="2" name="TextBox 1">
          <a:extLst xmlns:a="http://schemas.openxmlformats.org/drawingml/2006/main">
            <a:ext uri="{FF2B5EF4-FFF2-40B4-BE49-F238E27FC236}">
              <a16:creationId xmlns:a16="http://schemas.microsoft.com/office/drawing/2014/main" id="{786801D1-FB2B-EC9B-0AF9-C987E20DC5DB}"/>
            </a:ext>
          </a:extLst>
        </cdr:cNvPr>
        <cdr:cNvSpPr txBox="1"/>
      </cdr:nvSpPr>
      <cdr:spPr>
        <a:xfrm xmlns:a="http://schemas.openxmlformats.org/drawingml/2006/main">
          <a:off x="1828800" y="1014412"/>
          <a:ext cx="914400" cy="914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NG"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5</Pages>
  <Words>483</Words>
  <Characters>2670</Characters>
  <Application>Microsoft Office Word</Application>
  <DocSecurity>0</DocSecurity>
  <Lines>70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inioluwa giwa-daramola</dc:creator>
  <cp:keywords/>
  <dc:description/>
  <cp:lastModifiedBy>inioluwa giwa-daramola</cp:lastModifiedBy>
  <cp:revision>29</cp:revision>
  <dcterms:created xsi:type="dcterms:W3CDTF">2024-01-16T15:05:00Z</dcterms:created>
  <dcterms:modified xsi:type="dcterms:W3CDTF">2024-01-17T11:57:00Z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73979704-68c8-483a-8a67-0c13c56409c5</vt:lpwstr>
  </property>
</Properties>
</file>