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Database Systems Case Study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Team Members: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1. Aarushi Singh - 24BDS0436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2. Ojaswi Om - 24BCE2186</w:t>
      </w:r>
    </w:p>
    <w:p>
      <w:pPr>
        <w:pBdr>
          <w:bottom w:val="single" w:color="1F3864" w:sz="8" w:space="3"/>
        </w:pBdr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Faculty: </w:t>
      </w:r>
      <w:r>
        <w:rPr>
          <w:rFonts w:ascii="Calibri" w:cs="Calibri" w:eastAsia="Calibri" w:hAnsi="Calibri"/>
          <w:sz w:val="19"/>
          <w:szCs w:val="19"/>
        </w:rPr>
        <w:t xml:space="preserve">Poornima N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Title: </w:t>
      </w: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Adaptive Execution Strategy Selection for Filtered Vector Similarity Queries in PostgreSQL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1. Brief Overview</w:t>
      </w:r>
    </w:p>
    <w:p>
      <w:pPr>
        <w:spacing w:after="3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Modern applications (semantic search, recommendations, RAG) store embeddings in PostgreSQL using the pgvector extension and combine nearest-neighbour search with SQL predicates, e.g. “find the 10 most similar products where category = 'shoes' AND price &lt; 2000”. This project builds an adaptive layer that decides, per query, how such filtered vector queries should be executed.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2. Problem Addressed</w:t>
      </w:r>
    </w:p>
    <w:p>
      <w:pPr>
        <w:spacing w:after="3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Filtered vector queries can run as (a) an approximate index scan (HNSW/IVFFlat) followed by post-filtering, or (b) a filter-first plan with an exact scan over matching rows. Neither is always best: with a highly selective filter, post-filtering returns too few or zero results (low recall); with a loose filter, an exact scan is needlessly slow. The PostgreSQL planner uses a fixed cost model that does not account for filter selectivity versus vector-index behaviour, so it often picks a poor plan.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3. Methodology / Technologies Used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Stack: </w:t>
      </w:r>
      <w:r>
        <w:rPr>
          <w:rFonts w:ascii="Calibri" w:cs="Calibri" w:eastAsia="Calibri" w:hAnsi="Calibri"/>
          <w:sz w:val="19"/>
          <w:szCs w:val="19"/>
        </w:rPr>
        <w:t xml:space="preserve">PostgreSQL + pgvector (HNSW index), PL/pgSQL selector function, B-tree index on filter column, Python (NumPy, scikit-learn, Matplotlib) for benchmarking.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Selectivity estimation: </w:t>
      </w:r>
      <w:r>
        <w:rPr>
          <w:rFonts w:ascii="Calibri" w:cs="Calibri" w:eastAsia="Calibri" w:hAnsi="Calibri"/>
          <w:sz w:val="19"/>
          <w:szCs w:val="19"/>
        </w:rPr>
        <w:t xml:space="preserve">fraction of rows passing the filter is estimated from planner statistics (pg_stats histogram_bounds).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Strategy selection: </w:t>
      </w:r>
      <w:r>
        <w:rPr>
          <w:rFonts w:ascii="Calibri" w:cs="Calibri" w:eastAsia="Calibri" w:hAnsi="Calibri"/>
          <w:sz w:val="19"/>
          <w:szCs w:val="19"/>
        </w:rPr>
        <w:t xml:space="preserve">a cost model compares rows scanned by filter-first exact search (selectivity × N) against ANN search with ef_search enlarged to ceil(3k / selectivity), and picks the cheaper plan.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Evaluation: </w:t>
      </w:r>
      <w:r>
        <w:rPr>
          <w:rFonts w:ascii="Calibri" w:cs="Calibri" w:eastAsia="Calibri" w:hAnsi="Calibri"/>
          <w:sz w:val="19"/>
          <w:szCs w:val="19"/>
        </w:rPr>
        <w:t xml:space="preserve">Python prototype emulating pgvector ANN + post-filter behaviour (IVF index); 50,000 vectors (64-d), k = 10, 100 queries per point, selectivity 0.1%–100%; metrics are recall@10 and latency versus the default ANN + post-filter plan.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4. Key Features / Outcomes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Per-query adaptive choice of execution strategy; no change to application SQL.</w:t>
      </w:r>
      <w:r>
        <w:rPr>
          <w:rFonts w:ascii="Calibri" w:cs="Calibri" w:eastAsia="Calibri" w:hAnsi="Calibri"/>
          <w:sz w:val="19"/>
          <w:szCs w:val="19"/>
        </w:rPr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Fixes the low-recall failure of post-filtering under restrictive filters; avoids slow exact scans under loose filters.</w:t>
      </w:r>
      <w:r>
        <w:rPr>
          <w:rFonts w:ascii="Calibri" w:cs="Calibri" w:eastAsia="Calibri" w:hAnsi="Calibri"/>
          <w:sz w:val="19"/>
          <w:szCs w:val="19"/>
        </w:rPr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5. Final Outcome of the Project</w:t>
      </w:r>
    </w:p>
    <w:p>
      <w:pPr>
        <w:spacing w:after="3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Working prototype with SQL code (adaptive_search function) and a benchmark. Adaptive selection reached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recall@10 = 1.00 at every selectivity</w:t>
      </w:r>
      <w:r>
        <w:rPr>
          <w:rFonts w:ascii="Calibri" w:cs="Calibri" w:eastAsia="Calibri" w:hAnsi="Calibri"/>
          <w:sz w:val="19"/>
          <w:szCs w:val="19"/>
        </w:rPr>
        <w:t xml:space="preserve">, versus 0.007 (0.1%), 0.059 (1%), 0.226 (5%) and 0.794 (20%) for the default plan. At 1% selectivity it was also ~14× faster (0.05 ms vs 0.70 ms); at 50% and 100% it matched or beat the default latency. Publication: not published; submitted as a course case study. Full measured results: </w:t>
      </w:r>
      <w:hyperlink w:history="1" r:id="rIdrf4yge6i72fyfmj1ucc7d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results.json</w:t>
        </w:r>
      </w:hyperlink>
      <w:r>
        <w:rPr>
          <w:rFonts w:ascii="Calibri" w:cs="Calibri" w:eastAsia="Calibri" w:hAnsi="Calibri"/>
          <w:sz w:val="19"/>
          <w:szCs w:val="19"/>
        </w:rPr>
        <w:t xml:space="preserve"> | Code: </w:t>
      </w:r>
      <w:hyperlink w:history="1" r:id="rIdhnuko-tjztikpuipuvx9z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benchmark.py</w:t>
        </w:r>
      </w:hyperlink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6. Proof of Outcome (project / demo screenshots)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6"/>
        <w:gridCol w:w="5256"/>
      </w:tblGrid>
      <w:tr>
        <w:tc>
          <w:tcPr>
            <w:tcW w:type="dxa" w:w="5256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143250" cy="1133475"/>
                  <wp:effectExtent t="0" r="0" b="0" l="0"/>
                  <wp:docPr id="1" name="fig_benchmark.png" descr="fig_benchmark.png" title="fig_benchmar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143250" cy="523875"/>
                  <wp:effectExtent t="0" r="0" b="0" l="0"/>
                  <wp:docPr id="1" name="fig_console_c.png" descr="fig_console_c.png" title="fig_console_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256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EAF0FA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Figure 1: Recall@10 and latency vs filter selectivity</w:t>
            </w:r>
          </w:p>
        </w:tc>
        <w:tc>
          <w:tcPr>
            <w:tcW w:type="dxa" w:w="5256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EAF0FA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Figure 2: Benchmark console output (adaptive plan chosen per row)</w:t>
            </w:r>
          </w:p>
        </w:tc>
      </w:tr>
    </w:tbl>
    <w:p>
      <w:pPr>
        <w:spacing w:before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Source code (click to open): </w:t>
      </w:r>
      <w:hyperlink w:history="1" r:id="rIdf4pyaxzabuv-gvfwlcqbb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benchmark.py</w:t>
        </w:r>
      </w:hyperlink>
      <w:r>
        <w:rPr>
          <w:rFonts w:ascii="Calibri" w:cs="Calibri" w:eastAsia="Calibri" w:hAnsi="Calibri"/>
          <w:sz w:val="19"/>
          <w:szCs w:val="19"/>
        </w:rPr>
        <w:t xml:space="preserve">  |  </w:t>
      </w:r>
      <w:hyperlink w:history="1" r:id="rIdfoxzp-zi6ymmllxe8b6yh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adaptive_filtered_vector_search.sql</w:t>
        </w:r>
      </w:hyperlink>
      <w:r>
        <w:rPr>
          <w:rFonts w:ascii="Calibri" w:cs="Calibri" w:eastAsia="Calibri" w:hAnsi="Calibri"/>
          <w:sz w:val="19"/>
          <w:szCs w:val="19"/>
        </w:rPr>
        <w:t xml:space="preserve">  |  </w:t>
      </w:r>
      <w:hyperlink w:history="1" r:id="rIdb7b2h4ib7xqjvgt6jzu_9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results.json</w:t>
        </w:r>
      </w:hyperlink>
    </w:p>
    <w:sectPr>
      <w:pgSz w:w="12240" w:h="15840" w:orient="portrait"/>
      <w:pgMar w:top="720" w:right="864" w:bottom="576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f4yge6i72fyfmj1ucc7d" Type="http://schemas.openxmlformats.org/officeDocument/2006/relationships/hyperlink" Target="https://claude.ai/artifact/XQ5RZQnhwZsD9zsFK9n4hF#results" TargetMode="External"/><Relationship Id="rIdhnuko-tjztikpuipuvx9z" Type="http://schemas.openxmlformats.org/officeDocument/2006/relationships/hyperlink" Target="https://claude.ai/artifact/XQ5RZQnhwZsD9zsFK9n4hF#benchmark" TargetMode="External"/><Relationship Id="rIdf4pyaxzabuv-gvfwlcqbb" Type="http://schemas.openxmlformats.org/officeDocument/2006/relationships/hyperlink" Target="https://claude.ai/artifact/XQ5RZQnhwZsD9zsFK9n4hF#benchmark" TargetMode="External"/><Relationship Id="rIdfoxzp-zi6ymmllxe8b6yh" Type="http://schemas.openxmlformats.org/officeDocument/2006/relationships/hyperlink" Target="https://claude.ai/artifact/XQ5RZQnhwZsD9zsFK9n4hF#sql" TargetMode="External"/><Relationship Id="rIdb7b2h4ib7xqjvgt6jzu_9" Type="http://schemas.openxmlformats.org/officeDocument/2006/relationships/hyperlink" Target="https://claude.ai/artifact/XQ5RZQnhwZsD9zsFK9n4hF#results" TargetMode="External"/><Relationship Id="rId7" Type="http://schemas.openxmlformats.org/officeDocument/2006/relationships/image" Target="media/e902373832a3ea68bb8ec194d5104030b989e5d7.png"/><Relationship Id="rId8" Type="http://schemas.openxmlformats.org/officeDocument/2006/relationships/image" Target="media/cd43d9e3e32bda5f7b228cf7765dfca17844504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2026-10-06T23:08:59.812Z</dcterms:created>
  <dcterms:modified xsi:type="dcterms:W3CDTF">2026-10-06T23:08:59.812Z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