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LegalEaseAI</w:t>
      </w:r>
    </w:p>
    <w:p>
      <w:pPr>
        <w:pStyle w:val="Heading2"/>
        <w:pStyle w:val="MdHeading2"/>
      </w:pPr>
      <w:r>
        <w:t xml:space="preserve">AI-Powered Legal Document Generator</w:t>
      </w:r>
    </w:p>
    <w:p>
      <w:pPr>
        <w:pStyle w:val="MdParagraph"/>
      </w:pPr>
      <w:r>
        <w:rPr>
          <w:rStyle w:val="MdStrong"/>
          <w:b/>
          <w:bCs/>
        </w:rPr>
        <w:t xml:space="preserve">Team ID:</w:t>
      </w:r>
      <w:r>
        <w:t xml:space="preserve"> SWTID-2026-2057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Team Size:</w:t>
      </w:r>
      <w:r>
        <w:t xml:space="preserve"> 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Team Leader:</w:t>
      </w:r>
      <w:r>
        <w:t xml:space="preserve"> Iniyaashree 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Team Members:</w:t>
      </w:r>
      <w:r>
        <w:t xml:space="preserve"> Kaniga P, Kanimozhi S, Kanimozhi G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Important:</w:t>
      </w:r>
      <w:r>
        <w:t xml:space="preserve"> LegalEaseAI creates AI-assisted drafts for information and editing. It is not a substitute for legal advice, does not guarantee legal validity, and should be reviewed by a qualified legal professional before signing, filing, or relying on the document.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Overview</w:t>
      </w:r>
    </w:p>
    <w:p>
      <w:pPr>
        <w:pStyle w:val="MdParagraph"/>
      </w:pPr>
      <w:r>
        <w:t xml:space="preserve">LegalEaseAI is an AI-assisted legal document drafting application built with </w:t>
      </w:r>
      <w:r>
        <w:rPr>
          <w:rStyle w:val="MdStrong"/>
          <w:b/>
          <w:bCs/>
        </w:rPr>
        <w:t xml:space="preserve">FastAPI</w:t>
      </w:r>
      <w:r>
        <w:t xml:space="preserve">, </w:t>
      </w:r>
      <w:r>
        <w:rPr>
          <w:rStyle w:val="MdStrong"/>
          <w:b/>
          <w:bCs/>
        </w:rPr>
        <w:t xml:space="preserve">Streamlit</w:t>
      </w:r>
      <w:r>
        <w:t xml:space="preserve">, </w:t>
      </w:r>
      <w:r>
        <w:rPr>
          <w:rStyle w:val="MdStrong"/>
          <w:b/>
          <w:bCs/>
        </w:rPr>
        <w:t xml:space="preserve">Python</w:t>
      </w:r>
      <w:r>
        <w:t xml:space="preserve">, and the </w:t>
      </w:r>
      <w:r>
        <w:rPr>
          <w:rStyle w:val="MdStrong"/>
          <w:b/>
          <w:bCs/>
        </w:rPr>
        <w:t xml:space="preserve">Google Gemini API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application accepts a document type, parties involved, terms and conditions, and an effective date. It generates an editable first draft that can be downloaded as </w:t>
      </w:r>
      <w:r>
        <w:rPr>
          <w:rStyle w:val="MdStrong"/>
          <w:b/>
          <w:bCs/>
        </w:rPr>
        <w:t xml:space="preserve">TXT, DOCX, or PDF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Features</w:t>
      </w:r>
    </w:p>
    <w:p>
      <w:pPr>
        <w:pStyle w:val="MdListItem"/>
        <w:numPr>
          <w:ilvl w:val="0"/>
          <w:numId w:val="2"/>
        </w:numPr>
      </w:pPr>
      <w:r>
        <w:t xml:space="preserve">Preset and custom legal document types</w:t>
      </w:r>
    </w:p>
    <w:p>
      <w:pPr>
        <w:pStyle w:val="MdListItem"/>
        <w:numPr>
          <w:ilvl w:val="0"/>
          <w:numId w:val="2"/>
        </w:numPr>
      </w:pPr>
      <w:r>
        <w:t xml:space="preserve">Parties, terms, and effective-date input</w:t>
      </w:r>
    </w:p>
    <w:p>
      <w:pPr>
        <w:pStyle w:val="MdListItem"/>
        <w:numPr>
          <w:ilvl w:val="0"/>
          <w:numId w:val="2"/>
        </w:numPr>
      </w:pPr>
      <w:r>
        <w:t xml:space="preserve">AI document generation using Google Gemini</w:t>
      </w:r>
    </w:p>
    <w:p>
      <w:pPr>
        <w:pStyle w:val="MdListItem"/>
        <w:numPr>
          <w:ilvl w:val="0"/>
          <w:numId w:val="2"/>
        </w:numPr>
      </w:pPr>
      <w:r>
        <w:t xml:space="preserve">Editable document preview in the browser</w:t>
      </w:r>
    </w:p>
    <w:p>
      <w:pPr>
        <w:pStyle w:val="MdListItem"/>
        <w:numPr>
          <w:ilvl w:val="0"/>
          <w:numId w:val="2"/>
        </w:numPr>
      </w:pPr>
      <w:r>
        <w:t xml:space="preserve">TXT, DOCX, and PDF downloads</w:t>
      </w:r>
    </w:p>
    <w:p>
      <w:pPr>
        <w:pStyle w:val="MdListItem"/>
        <w:numPr>
          <w:ilvl w:val="0"/>
          <w:numId w:val="2"/>
        </w:numPr>
      </w:pPr>
      <w:r>
        <w:t xml:space="preserve">Optional PNG, JPG, or JPEG logo upload</w:t>
      </w:r>
    </w:p>
    <w:p>
      <w:pPr>
        <w:pStyle w:val="MdListItem"/>
        <w:numPr>
          <w:ilvl w:val="0"/>
          <w:numId w:val="2"/>
        </w:numPr>
      </w:pPr>
      <w:r>
        <w:t xml:space="preserve">FastAPI root and health endpoints</w:t>
      </w:r>
    </w:p>
    <w:p>
      <w:pPr>
        <w:pStyle w:val="MdListItem"/>
        <w:numPr>
          <w:ilvl w:val="0"/>
          <w:numId w:val="2"/>
        </w:numPr>
      </w:pPr>
      <w:r>
        <w:t xml:space="preserve">Pydantic request validation</w:t>
      </w:r>
    </w:p>
    <w:p>
      <w:pPr>
        <w:pStyle w:val="MdListItem"/>
        <w:numPr>
          <w:ilvl w:val="0"/>
          <w:numId w:val="2"/>
        </w:numPr>
      </w:pPr>
      <w:r>
        <w:t xml:space="preserve">Retry handling for temporary Gemini failures</w:t>
      </w:r>
    </w:p>
    <w:p>
      <w:pPr>
        <w:pStyle w:val="MdListItem"/>
        <w:numPr>
          <w:ilvl w:val="0"/>
          <w:numId w:val="2"/>
        </w:numPr>
      </w:pPr>
      <w:r>
        <w:t xml:space="preserve">Environment-based API-key configuration</w:t>
      </w:r>
    </w:p>
    <w:p>
      <w:pPr>
        <w:pStyle w:val="MdListItem"/>
        <w:numPr>
          <w:ilvl w:val="0"/>
          <w:numId w:val="2"/>
        </w:numPr>
      </w:pPr>
      <w:r>
        <w:t xml:space="preserve">Legal disclaimer in the interface and generated-document footer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Technology Stack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Application runtime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REST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Uvicorn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ASGI server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Streamlit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Browser user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GenAI SDK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Gemini API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Pydantic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 validation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Frontend-to-backend communication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python-dotenv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Environment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python-docx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DOCX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fpdf2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PDF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Pillow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Logo/image handling</w:t>
            </w:r>
          </w:p>
        </w:tc>
      </w:tr>
    </w:tbl>
    <w:p>
      <w:pPr>
        <w:pStyle w:val="Heading2"/>
        <w:pStyle w:val="MdHeading2"/>
      </w:pPr>
      <w:r>
        <w:t xml:space="preserve">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LegalEaseAI/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ai_core/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gemini_generator.py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utils/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document_formatter.py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app.py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main.py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routes.py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.env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.gitignore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Prerequisites</w:t>
      </w:r>
    </w:p>
    <w:p>
      <w:pPr>
        <w:pStyle w:val="MdListItem"/>
        <w:numPr>
          <w:ilvl w:val="0"/>
          <w:numId w:val="2"/>
        </w:numPr>
      </w:pPr>
      <w:r>
        <w:t xml:space="preserve">Python 3.10 or newer</w:t>
      </w:r>
    </w:p>
    <w:p>
      <w:pPr>
        <w:pStyle w:val="MdListItem"/>
        <w:numPr>
          <w:ilvl w:val="0"/>
          <w:numId w:val="2"/>
        </w:numPr>
      </w:pPr>
      <w:r>
        <w:t xml:space="preserve">Google Gemini API key for live generation</w:t>
      </w:r>
    </w:p>
    <w:p>
      <w:pPr>
        <w:pStyle w:val="MdListItem"/>
        <w:numPr>
          <w:ilvl w:val="0"/>
          <w:numId w:val="2"/>
        </w:numPr>
      </w:pPr>
      <w:r>
        <w:t xml:space="preserve">Internet connection for Gemini API requests</w:t>
      </w:r>
    </w:p>
    <w:p>
      <w:pPr>
        <w:pStyle w:val="MdListItem"/>
        <w:numPr>
          <w:ilvl w:val="0"/>
          <w:numId w:val="2"/>
        </w:numPr>
      </w:pPr>
      <w:r>
        <w:t xml:space="preserve">Modern web browser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Installation</w:t>
      </w:r>
    </w:p>
    <w:p>
      <w:pPr>
        <w:pStyle w:val="Heading3"/>
        <w:pStyle w:val="MdHeading3"/>
      </w:pPr>
      <w:r>
        <w:t xml:space="preserve">1. Open the project folder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LegalEaseAI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Create a virtual environment</w:t>
      </w:r>
    </w:p>
    <w:p>
      <w:pPr>
        <w:pStyle w:val="MdParagraph"/>
      </w:pPr>
      <w:r>
        <w:rPr>
          <w:rStyle w:val="MdStrong"/>
          <w:b/>
          <w:bCs/>
        </w:rPr>
        <w:t xml:space="preserve">Windows PowerShell: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python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 venv 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.venv\Scripts\Activate.ps1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Windows Command Prompt: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python -m venv 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.venv\Scripts\activate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Linux or macOS: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.venv/bin/activate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Install dependencies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</w:t>
      </w:r>
    </w:p>
    <w:p>
      <w:pPr>
        <w:pStyle w:val="MdParagraph"/>
      </w:pPr>
      <w:r>
        <w:t xml:space="preserve">Create a </w:t>
      </w:r>
      <w:r>
        <w:rPr>
          <w:rStyle w:val="MdCode"/>
          <w:u w:val="single"/>
        </w:rPr>
        <w:t xml:space="preserve">.env</w:t>
      </w:r>
      <w:r>
        <w:t xml:space="preserve"> file in the project root: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GEMINI_API_KEY=your_gemini_api_key_here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GEMINI_MODEL=gemini-3.5-flash-lite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BACKEND_URL=http://127.0.0.1:8000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Never commit </w:t>
      </w:r>
      <w:r>
        <w:rPr>
          <w:rStyle w:val="MdCode"/>
          <w:b/>
          <w:bCs/>
          <w:u w:val="single"/>
        </w:rPr>
        <w:t xml:space="preserve">.env</w:t>
      </w:r>
      <w:r>
        <w:rPr>
          <w:rStyle w:val="MdStrong"/>
          <w:b/>
          <w:bCs/>
        </w:rPr>
        <w:t xml:space="preserve"> or expose your Gemini API key.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Variable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GEMINI_API_KEY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Secret key for Google Gemini; required for live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GEMINI_MODEL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Optional Gemini model name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BACKEND_URL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FastAPI URL used by Streamlit</w:t>
            </w:r>
          </w:p>
        </w:tc>
      </w:tr>
    </w:tbl>
    <w:p>
      <w:pPr>
        <w:pStyle w:val="Heading2"/>
        <w:pStyle w:val="MdHeading2"/>
      </w:pPr>
      <w:r>
        <w:t xml:space="preserve">Running the Application</w:t>
      </w:r>
    </w:p>
    <w:p>
      <w:pPr>
        <w:pStyle w:val="MdParagraph"/>
      </w:pPr>
      <w:r>
        <w:t xml:space="preserve">LegalEaseAI uses two processes.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Start the FastAPI backend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uvicorn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main:app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--reload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127.0.0.1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8000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Backend URLs: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hyperlink w:history="1" r:id="rIdujwwyf8qnkahqiywvijko">
        <w:r>
          <w:rPr>
            <w:rStyle w:val="MdLink"/>
          </w:rPr>
          <w:t xml:space="preserve">http://127.0.0.1:8000/</w:t>
        </w:r>
      </w:hyperlink>
    </w:p>
    <w:p>
      <w:pPr>
        <w:pStyle w:val="MdListItem"/>
        <w:numPr>
          <w:ilvl w:val="0"/>
          <w:numId w:val="2"/>
        </w:numPr>
      </w:pPr>
      <w:hyperlink w:history="1" r:id="rId0ox9jensevcrbrovy4fw6">
        <w:r>
          <w:rPr>
            <w:rStyle w:val="MdLink"/>
          </w:rPr>
          <w:t xml:space="preserve">http://127.0.0.1:8000/health</w:t>
        </w:r>
      </w:hyperlink>
    </w:p>
    <w:p>
      <w:pPr>
        <w:pStyle w:val="MdListItem"/>
        <w:numPr>
          <w:ilvl w:val="0"/>
          <w:numId w:val="2"/>
        </w:numPr>
      </w:pPr>
      <w:hyperlink w:history="1" r:id="rIdwek90z2sibktjfd96orry">
        <w:r>
          <w:rPr>
            <w:rStyle w:val="MdLink"/>
          </w:rPr>
          <w:t xml:space="preserve">http://127.0.0.1:8000/docs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Start the Streamlit frontend</w:t>
      </w:r>
    </w:p>
    <w:p>
      <w:pPr>
        <w:pStyle w:val="MdParagraph"/>
      </w:pPr>
      <w:r>
        <w:t xml:space="preserve">Open a second terminal, activate the virtual environment, and 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frontend normally opens at: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http://localhost:8501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to Use</w:t>
      </w:r>
    </w:p>
    <w:p>
      <w:pPr>
        <w:pStyle w:val="MdListItem"/>
        <w:numPr>
          <w:ilvl w:val="0"/>
          <w:numId w:val="3"/>
        </w:numPr>
      </w:pPr>
      <w:r>
        <w:t xml:space="preserve">Open the Streamlit URL.</w:t>
      </w:r>
    </w:p>
    <w:p>
      <w:pPr>
        <w:pStyle w:val="MdListItem"/>
        <w:numPr>
          <w:ilvl w:val="0"/>
          <w:numId w:val="3"/>
        </w:numPr>
      </w:pPr>
      <w:r>
        <w:t xml:space="preserve">Read the legal disclaimer.</w:t>
      </w:r>
    </w:p>
    <w:p>
      <w:pPr>
        <w:pStyle w:val="MdListItem"/>
        <w:numPr>
          <w:ilvl w:val="0"/>
          <w:numId w:val="3"/>
        </w:numPr>
      </w:pPr>
      <w:r>
        <w:t xml:space="preserve">Select a document type or enter a custom type.</w:t>
      </w:r>
    </w:p>
    <w:p>
      <w:pPr>
        <w:pStyle w:val="MdListItem"/>
        <w:numPr>
          <w:ilvl w:val="0"/>
          <w:numId w:val="3"/>
        </w:numPr>
      </w:pPr>
      <w:r>
        <w:t xml:space="preserve">Enter the effective date.</w:t>
      </w:r>
    </w:p>
    <w:p>
      <w:pPr>
        <w:pStyle w:val="MdListItem"/>
        <w:numPr>
          <w:ilvl w:val="0"/>
          <w:numId w:val="3"/>
        </w:numPr>
      </w:pPr>
      <w:r>
        <w:t xml:space="preserve">Enter the parties involved.</w:t>
      </w:r>
    </w:p>
    <w:p>
      <w:pPr>
        <w:pStyle w:val="MdListItem"/>
        <w:numPr>
          <w:ilvl w:val="0"/>
          <w:numId w:val="3"/>
        </w:numPr>
      </w:pPr>
      <w:r>
        <w:t xml:space="preserve">Enter the terms and conditions.</w:t>
      </w:r>
    </w:p>
    <w:p>
      <w:pPr>
        <w:pStyle w:val="MdListItem"/>
        <w:numPr>
          <w:ilvl w:val="0"/>
          <w:numId w:val="3"/>
        </w:numPr>
      </w:pPr>
      <w:r>
        <w:t xml:space="preserve">Optionally upload a logo.</w:t>
      </w:r>
    </w:p>
    <w:p>
      <w:pPr>
        <w:pStyle w:val="MdListItem"/>
        <w:numPr>
          <w:ilvl w:val="0"/>
          <w:numId w:val="3"/>
        </w:numPr>
      </w:pPr>
      <w:r>
        <w:t xml:space="preserve">Click </w:t>
      </w:r>
      <w:r>
        <w:rPr>
          <w:rStyle w:val="MdStrong"/>
          <w:b/>
          <w:bCs/>
        </w:rPr>
        <w:t xml:space="preserve">Generate Document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Review and edit the generated draft.</w:t>
      </w:r>
    </w:p>
    <w:p>
      <w:pPr>
        <w:pStyle w:val="MdListItem"/>
        <w:numPr>
          <w:ilvl w:val="0"/>
          <w:numId w:val="3"/>
        </w:numPr>
      </w:pPr>
      <w:r>
        <w:t xml:space="preserve">Download the result as TXT, DOCX, or PDF.</w:t>
      </w:r>
    </w:p>
    <w:p>
      <w:pPr>
        <w:pStyle w:val="MdListItem"/>
        <w:numPr>
          <w:ilvl w:val="0"/>
          <w:numId w:val="3"/>
        </w:numPr>
      </w:pPr>
      <w:r>
        <w:t xml:space="preserve">Obtain qualified legal review before using the document.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API Reference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</w:t>
      </w:r>
    </w:p>
    <w:p>
      <w:pPr>
        <w:pStyle w:val="MdParagraph"/>
      </w:pPr>
      <w:r>
        <w:t xml:space="preserve">Confirms that the API is running.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 response: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"LegalEase API is running"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"success"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/health</w:t>
      </w:r>
    </w:p>
    <w:p>
      <w:pPr>
        <w:pStyle w:val="MdParagraph"/>
      </w:pPr>
      <w:r>
        <w:t xml:space="preserve">Checks backend health.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"healthy"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/generate</w:t>
      </w:r>
    </w:p>
    <w:p>
      <w:pPr>
        <w:pStyle w:val="MdParagraph"/>
      </w:pPr>
      <w:r>
        <w:t xml:space="preserve">Generates an AI-assisted legal document draft.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Request body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"document_type"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"Freelance Work Contract"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"parties"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"Jane Doe (Service Provider), Example Corp (Client)"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"terms"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 within 30 days; delivery by deadline; confidentiality; 15 days notice for termination."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"effective_date"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"24/09/2026"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Successful response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"document"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"FREELANCE WORK CONTRACT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1. PARTIES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Input Limits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Minimum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Maximum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5,000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10,000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effective_date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100 characters</w:t>
            </w:r>
          </w:p>
        </w:tc>
      </w:tr>
    </w:tbl>
    <w:p>
      <w:pPr>
        <w:pStyle w:val="Heading2"/>
        <w:pStyle w:val="MdHeading2"/>
      </w:pPr>
      <w:r>
        <w:t xml:space="preserve">Gemini Prompt Safeguards</w:t>
      </w:r>
    </w:p>
    <w:p>
      <w:pPr>
        <w:pStyle w:val="MdParagraph"/>
      </w:pPr>
      <w:r>
        <w:t xml:space="preserve">The generator instructs Gemini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Use only information supplied by the user</w:t>
      </w:r>
    </w:p>
    <w:p>
      <w:pPr>
        <w:pStyle w:val="MdListItem"/>
        <w:numPr>
          <w:ilvl w:val="0"/>
          <w:numId w:val="2"/>
        </w:numPr>
      </w:pPr>
      <w:r>
        <w:t xml:space="preserve">Avoid inventing names, addresses, dates, amounts, laws, courts, registration numbers, or other facts</w:t>
      </w:r>
    </w:p>
    <w:p>
      <w:pPr>
        <w:pStyle w:val="MdListItem"/>
        <w:numPr>
          <w:ilvl w:val="0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[TO BE COMPLETED]</w:t>
      </w:r>
      <w:r>
        <w:t xml:space="preserve"> when important information is missing</w:t>
      </w:r>
    </w:p>
    <w:p>
      <w:pPr>
        <w:pStyle w:val="MdListItem"/>
        <w:numPr>
          <w:ilvl w:val="0"/>
          <w:numId w:val="2"/>
        </w:numPr>
      </w:pPr>
      <w:r>
        <w:t xml:space="preserve">Use clear professional language</w:t>
      </w:r>
    </w:p>
    <w:p>
      <w:pPr>
        <w:pStyle w:val="MdListItem"/>
        <w:numPr>
          <w:ilvl w:val="0"/>
          <w:numId w:val="2"/>
        </w:numPr>
      </w:pPr>
      <w:r>
        <w:t xml:space="preserve">Include appropriate sections and signature areas</w:t>
      </w:r>
    </w:p>
    <w:p>
      <w:pPr>
        <w:pStyle w:val="MdListItem"/>
        <w:numPr>
          <w:ilvl w:val="0"/>
          <w:numId w:val="2"/>
        </w:numPr>
      </w:pPr>
      <w:r>
        <w:t xml:space="preserve">Avoid claiming that the document is legally valid</w:t>
      </w:r>
    </w:p>
    <w:p>
      <w:pPr>
        <w:pStyle w:val="MdListItem"/>
        <w:numPr>
          <w:ilvl w:val="0"/>
          <w:numId w:val="2"/>
        </w:numPr>
      </w:pPr>
      <w:r>
        <w:t xml:space="preserve">Avoid providing legal advice</w:t>
      </w:r>
    </w:p>
    <w:p>
      <w:pPr>
        <w:pStyle w:val="MdListItem"/>
        <w:numPr>
          <w:ilvl w:val="0"/>
          <w:numId w:val="2"/>
        </w:numPr>
      </w:pPr>
      <w:r>
        <w:t xml:space="preserve">Return plain text without Markdown code fences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Error Handling</w:t>
      </w:r>
    </w:p>
    <w:p>
      <w:pPr>
        <w:pStyle w:val="MdParagraph"/>
      </w:pPr>
      <w:r>
        <w:t xml:space="preserve">The application handles: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Empty required fields</w:t>
      </w:r>
    </w:p>
    <w:p>
      <w:pPr>
        <w:pStyle w:val="MdListItem"/>
        <w:numPr>
          <w:ilvl w:val="0"/>
          <w:numId w:val="2"/>
        </w:numPr>
      </w:pPr>
      <w:r>
        <w:t xml:space="preserve">Invalid field lengths</w:t>
      </w:r>
    </w:p>
    <w:p>
      <w:pPr>
        <w:pStyle w:val="MdListItem"/>
        <w:numPr>
          <w:ilvl w:val="0"/>
          <w:numId w:val="2"/>
        </w:numPr>
      </w:pPr>
      <w:r>
        <w:t xml:space="preserve">Missing Gemini API key</w:t>
      </w:r>
    </w:p>
    <w:p>
      <w:pPr>
        <w:pStyle w:val="MdListItem"/>
        <w:numPr>
          <w:ilvl w:val="0"/>
          <w:numId w:val="2"/>
        </w:numPr>
      </w:pPr>
      <w:r>
        <w:t xml:space="preserve">Empty Gemini responses</w:t>
      </w:r>
    </w:p>
    <w:p>
      <w:pPr>
        <w:pStyle w:val="MdListItem"/>
        <w:numPr>
          <w:ilvl w:val="0"/>
          <w:numId w:val="2"/>
        </w:numPr>
      </w:pPr>
      <w:r>
        <w:t xml:space="preserve">Temporary Gemini 503, unavailable, 429, and quota errors</w:t>
      </w:r>
    </w:p>
    <w:p>
      <w:pPr>
        <w:pStyle w:val="MdListItem"/>
        <w:numPr>
          <w:ilvl w:val="0"/>
          <w:numId w:val="2"/>
        </w:numPr>
      </w:pPr>
      <w:r>
        <w:t xml:space="preserve">Backend connection failures</w:t>
      </w:r>
    </w:p>
    <w:p>
      <w:pPr>
        <w:pStyle w:val="MdListItem"/>
        <w:numPr>
          <w:ilvl w:val="0"/>
          <w:numId w:val="2"/>
        </w:numPr>
      </w:pPr>
      <w:r>
        <w:t xml:space="preserve">Non-success backend responses</w:t>
      </w:r>
    </w:p>
    <w:p>
      <w:pPr>
        <w:pStyle w:val="MdListItem"/>
        <w:numPr>
          <w:ilvl w:val="0"/>
          <w:numId w:val="2"/>
        </w:numPr>
      </w:pPr>
      <w:r>
        <w:t xml:space="preserve">Document formatting errors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Temporary Gemini failures are retried with increasing wait times.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Guidelines</w:t>
      </w:r>
    </w:p>
    <w:p>
      <w:pPr>
        <w:pStyle w:val="MdListItem"/>
        <w:numPr>
          <w:ilvl w:val="0"/>
          <w:numId w:val="2"/>
        </w:numPr>
      </w:pPr>
      <w:r>
        <w:t xml:space="preserve">Never commit </w:t>
      </w:r>
      <w:r>
        <w:rPr>
          <w:rStyle w:val="MdCode"/>
          <w:u w:val="single"/>
        </w:rPr>
        <w:t xml:space="preserve">.env</w:t>
      </w:r>
      <w:r>
        <w:t xml:space="preserve"> or expose </w:t>
      </w:r>
      <w:r>
        <w:rPr>
          <w:rStyle w:val="MdCode"/>
          <w:u w:val="single"/>
        </w:rPr>
        <w:t xml:space="preserve">GEMINI_API_KEY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Use a managed secret store in production.</w:t>
      </w:r>
    </w:p>
    <w:p>
      <w:pPr>
        <w:pStyle w:val="MdListItem"/>
        <w:numPr>
          <w:ilvl w:val="0"/>
          <w:numId w:val="2"/>
        </w:numPr>
      </w:pPr>
      <w:r>
        <w:t xml:space="preserve">Restrict CORS origins before public deployment.</w:t>
      </w:r>
    </w:p>
    <w:p>
      <w:pPr>
        <w:pStyle w:val="MdListItem"/>
        <w:numPr>
          <w:ilvl w:val="0"/>
          <w:numId w:val="2"/>
        </w:numPr>
      </w:pPr>
      <w:r>
        <w:t xml:space="preserve">Add authentication and rate limiting before public exposure.</w:t>
      </w:r>
    </w:p>
    <w:p>
      <w:pPr>
        <w:pStyle w:val="MdListItem"/>
        <w:numPr>
          <w:ilvl w:val="0"/>
          <w:numId w:val="2"/>
        </w:numPr>
      </w:pPr>
      <w:r>
        <w:t xml:space="preserve">Avoid logging confidential legal document content unnecessarily.</w:t>
      </w:r>
    </w:p>
    <w:p>
      <w:pPr>
        <w:pStyle w:val="MdListItem"/>
        <w:numPr>
          <w:ilvl w:val="0"/>
          <w:numId w:val="2"/>
        </w:numPr>
      </w:pPr>
      <w:r>
        <w:t xml:space="preserve">Define data retention and deletion policies before adding storage.</w:t>
      </w:r>
    </w:p>
    <w:p>
      <w:pPr>
        <w:pStyle w:val="MdListItem"/>
        <w:numPr>
          <w:ilvl w:val="0"/>
          <w:numId w:val="2"/>
        </w:numPr>
      </w:pPr>
      <w:r>
        <w:t xml:space="preserve">Review uploaded-logo file handling and file-size limits.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 Checklist</w:t>
      </w:r>
    </w:p>
    <w:p>
      <w:pPr>
        <w:pStyle w:val="MdListItem"/>
        <w:numPr>
          <w:ilvl w:val="0"/>
          <w:numId w:val="2"/>
        </w:numPr>
      </w:pPr>
      <w:r>
        <w:t xml:space="preserve">Verify </w:t>
      </w:r>
      <w:r>
        <w:rPr>
          <w:rStyle w:val="MdCode"/>
          <w:u w:val="single"/>
        </w:rPr>
        <w:t xml:space="preserve">GET /</w:t>
      </w:r>
      <w:r>
        <w:t xml:space="preserve"> returns a success response.</w:t>
      </w:r>
    </w:p>
    <w:p>
      <w:pPr>
        <w:pStyle w:val="MdListItem"/>
        <w:numPr>
          <w:ilvl w:val="0"/>
          <w:numId w:val="2"/>
        </w:numPr>
      </w:pPr>
      <w:r>
        <w:t xml:space="preserve">Verify </w:t>
      </w:r>
      <w:r>
        <w:rPr>
          <w:rStyle w:val="MdCode"/>
          <w:u w:val="single"/>
        </w:rPr>
        <w:t xml:space="preserve">GET /health</w:t>
      </w:r>
      <w:r>
        <w:t xml:space="preserve"> returns healthy status.</w:t>
      </w:r>
    </w:p>
    <w:p>
      <w:pPr>
        <w:pStyle w:val="MdListItem"/>
        <w:numPr>
          <w:ilvl w:val="0"/>
          <w:numId w:val="2"/>
        </w:numPr>
      </w:pPr>
      <w:r>
        <w:t xml:space="preserve">Verify valid </w:t>
      </w:r>
      <w:r>
        <w:rPr>
          <w:rStyle w:val="MdCode"/>
          <w:u w:val="single"/>
        </w:rPr>
        <w:t xml:space="preserve">POST /generate</w:t>
      </w:r>
      <w:r>
        <w:t xml:space="preserve"> returns a </w:t>
      </w:r>
      <w:r>
        <w:rPr>
          <w:rStyle w:val="MdCode"/>
          <w:u w:val="single"/>
        </w:rPr>
        <w:t xml:space="preserve">document</w:t>
      </w:r>
      <w:r>
        <w:t xml:space="preserve"> field.</w:t>
      </w:r>
    </w:p>
    <w:p>
      <w:pPr>
        <w:pStyle w:val="MdListItem"/>
        <w:numPr>
          <w:ilvl w:val="0"/>
          <w:numId w:val="2"/>
        </w:numPr>
      </w:pPr>
      <w:r>
        <w:t xml:space="preserve">Verify blank and oversized fields are rejected.</w:t>
      </w:r>
    </w:p>
    <w:p>
      <w:pPr>
        <w:pStyle w:val="MdListItem"/>
        <w:numPr>
          <w:ilvl w:val="0"/>
          <w:numId w:val="2"/>
        </w:numPr>
      </w:pPr>
      <w:r>
        <w:t xml:space="preserve">Verify missing Gemini configuration shows a clear error.</w:t>
      </w:r>
    </w:p>
    <w:p>
      <w:pPr>
        <w:pStyle w:val="MdListItem"/>
        <w:numPr>
          <w:ilvl w:val="0"/>
          <w:numId w:val="2"/>
        </w:numPr>
      </w:pPr>
      <w:r>
        <w:t xml:space="preserve">Verify temporary Gemini failures are handled gracefully.</w:t>
      </w:r>
    </w:p>
    <w:p>
      <w:pPr>
        <w:pStyle w:val="MdListItem"/>
        <w:numPr>
          <w:ilvl w:val="0"/>
          <w:numId w:val="2"/>
        </w:numPr>
      </w:pPr>
      <w:r>
        <w:t xml:space="preserve">Verify backend-unavailable errors appear in Streamlit.</w:t>
      </w:r>
    </w:p>
    <w:p>
      <w:pPr>
        <w:pStyle w:val="MdListItem"/>
        <w:numPr>
          <w:ilvl w:val="0"/>
          <w:numId w:val="2"/>
        </w:numPr>
      </w:pPr>
      <w:r>
        <w:t xml:space="preserve">Verify edited text is included in downloaded files.</w:t>
      </w:r>
    </w:p>
    <w:p>
      <w:pPr>
        <w:pStyle w:val="MdListItem"/>
        <w:numPr>
          <w:ilvl w:val="0"/>
          <w:numId w:val="2"/>
        </w:numPr>
      </w:pPr>
      <w:r>
        <w:t xml:space="preserve">Verify TXT, DOCX, and PDF files open successfully.</w:t>
      </w:r>
    </w:p>
    <w:p>
      <w:pPr>
        <w:pStyle w:val="MdListItem"/>
        <w:numPr>
          <w:ilvl w:val="0"/>
          <w:numId w:val="2"/>
        </w:numPr>
      </w:pPr>
      <w:r>
        <w:t xml:space="preserve">Verify special HTML characters are escaped in the preview.</w:t>
      </w:r>
    </w:p>
    <w:p>
      <w:pPr>
        <w:pStyle w:val="MdListItem"/>
        <w:numPr>
          <w:ilvl w:val="0"/>
          <w:numId w:val="2"/>
        </w:numPr>
      </w:pPr>
      <w:r>
        <w:t xml:space="preserve">Verify the legal disclaimer remains visible.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Structural success does not prove legal correctness. Generated documents must be reviewed by a qualified legal professional.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Limitations</w:t>
      </w:r>
    </w:p>
    <w:p>
      <w:pPr>
        <w:pStyle w:val="MdListItem"/>
        <w:numPr>
          <w:ilvl w:val="0"/>
          <w:numId w:val="2"/>
        </w:numPr>
      </w:pPr>
      <w:r>
        <w:t xml:space="preserve">LegalEaseAI does not provide legal advice.</w:t>
      </w:r>
    </w:p>
    <w:p>
      <w:pPr>
        <w:pStyle w:val="MdListItem"/>
        <w:numPr>
          <w:ilvl w:val="0"/>
          <w:numId w:val="2"/>
        </w:numPr>
      </w:pPr>
      <w:r>
        <w:t xml:space="preserve">It does not guarantee legal validity or completeness.</w:t>
      </w:r>
    </w:p>
    <w:p>
      <w:pPr>
        <w:pStyle w:val="MdListItem"/>
        <w:numPr>
          <w:ilvl w:val="0"/>
          <w:numId w:val="2"/>
        </w:numPr>
      </w:pPr>
      <w:r>
        <w:t xml:space="preserve">It does not perform jurisdiction-specific legal analysis.</w:t>
      </w:r>
    </w:p>
    <w:p>
      <w:pPr>
        <w:pStyle w:val="MdListItem"/>
        <w:numPr>
          <w:ilvl w:val="0"/>
          <w:numId w:val="2"/>
        </w:numPr>
      </w:pPr>
      <w:r>
        <w:t xml:space="preserve">It does not verify every fact generated by Gemini.</w:t>
      </w:r>
    </w:p>
    <w:p>
      <w:pPr>
        <w:pStyle w:val="MdListItem"/>
        <w:numPr>
          <w:ilvl w:val="0"/>
          <w:numId w:val="2"/>
        </w:numPr>
      </w:pPr>
      <w:r>
        <w:t xml:space="preserve">It does not provide accounts or saved document history.</w:t>
      </w:r>
    </w:p>
    <w:p>
      <w:pPr>
        <w:pStyle w:val="MdListItem"/>
        <w:numPr>
          <w:ilvl w:val="0"/>
          <w:numId w:val="2"/>
        </w:numPr>
      </w:pPr>
      <w:r>
        <w:t xml:space="preserve">It does not provide attorney approval or court filing.</w:t>
      </w:r>
    </w:p>
    <w:p>
      <w:pPr>
        <w:pStyle w:val="MdListItem"/>
        <w:numPr>
          <w:ilvl w:val="0"/>
          <w:numId w:val="2"/>
        </w:numPr>
      </w:pPr>
      <w:r>
        <w:t xml:space="preserve">Live generation depends on Gemini availability, quota, and network access.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ListItem"/>
        <w:numPr>
          <w:ilvl w:val="0"/>
          <w:numId w:val="2"/>
        </w:numPr>
      </w:pPr>
      <w:r>
        <w:t xml:space="preserve">Reusable templates and clause libraries</w:t>
      </w:r>
    </w:p>
    <w:p>
      <w:pPr>
        <w:pStyle w:val="MdListItem"/>
        <w:numPr>
          <w:ilvl w:val="0"/>
          <w:numId w:val="2"/>
        </w:numPr>
      </w:pPr>
      <w:r>
        <w:t xml:space="preserve">User accounts and encrypted document history</w:t>
      </w:r>
    </w:p>
    <w:p>
      <w:pPr>
        <w:pStyle w:val="MdListItem"/>
        <w:numPr>
          <w:ilvl w:val="0"/>
          <w:numId w:val="2"/>
        </w:numPr>
      </w:pPr>
      <w:r>
        <w:t xml:space="preserve">Document version comparison</w:t>
      </w:r>
    </w:p>
    <w:p>
      <w:pPr>
        <w:pStyle w:val="MdListItem"/>
        <w:numPr>
          <w:ilvl w:val="0"/>
          <w:numId w:val="2"/>
        </w:numPr>
      </w:pPr>
      <w:r>
        <w:t xml:space="preserve">Jurisdiction and language profiles</w:t>
      </w:r>
    </w:p>
    <w:p>
      <w:pPr>
        <w:pStyle w:val="MdListItem"/>
        <w:numPr>
          <w:ilvl w:val="0"/>
          <w:numId w:val="2"/>
        </w:numPr>
      </w:pPr>
      <w:r>
        <w:t xml:space="preserve">Rate limiting, analytics, and cost controls</w:t>
      </w:r>
    </w:p>
    <w:p>
      <w:pPr>
        <w:pStyle w:val="MdListItem"/>
        <w:numPr>
          <w:ilvl w:val="0"/>
          <w:numId w:val="2"/>
        </w:numPr>
      </w:pPr>
      <w:r>
        <w:t xml:space="preserve">Accessibility improvements</w:t>
      </w:r>
    </w:p>
    <w:p>
      <w:pPr>
        <w:pStyle w:val="MdListItem"/>
        <w:numPr>
          <w:ilvl w:val="0"/>
          <w:numId w:val="2"/>
        </w:numPr>
      </w:pPr>
      <w:r>
        <w:t xml:space="preserve">Human legal-review workflow</w:t>
      </w:r>
    </w:p>
    <w:p>
      <w:pPr>
        <w:pStyle w:val="MdListItem"/>
        <w:numPr>
          <w:ilvl w:val="0"/>
          <w:numId w:val="2"/>
        </w:numPr>
      </w:pPr>
      <w:r>
        <w:t xml:space="preserve">Citation and source-support features</w:t>
      </w:r>
    </w:p>
    <w:p>
      <w:pPr>
        <w:pStyle w:val="MdListItem"/>
        <w:numPr>
          <w:ilvl w:val="0"/>
          <w:numId w:val="2"/>
        </w:numPr>
      </w:pPr>
      <w:r>
        <w:t xml:space="preserve">Automated content-quality benchmarks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License and Usage</w:t>
      </w:r>
    </w:p>
    <w:p>
      <w:pPr>
        <w:pStyle w:val="MdParagraph"/>
      </w:pPr>
      <w:r>
        <w:t xml:space="preserve">Add the project license before public distribution. Until then, treat LegalEaseAI as an academic or internal prototype.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Team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Team ID:</w:t>
      </w:r>
      <w:r>
        <w:t xml:space="preserve"> SWTID-2026-2057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Team Leader:</w:t>
      </w:r>
      <w:r>
        <w:t xml:space="preserve"> Iniyaashree 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Team Members:</w:t>
      </w:r>
      <w:r>
        <w:t xml:space="preserve"> Kaniga P, Kanimozhi S, Kanimozhi 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jwwyf8qnkahqiywvijko" Type="http://schemas.openxmlformats.org/officeDocument/2006/relationships/hyperlink" Target="http://127.0.0.1:8000/" TargetMode="External"/><Relationship Id="rId0ox9jensevcrbrovy4fw6" Type="http://schemas.openxmlformats.org/officeDocument/2006/relationships/hyperlink" Target="http://127.0.0.1:8000/health" TargetMode="External"/><Relationship Id="rIdwek90z2sibktjfd96orry" Type="http://schemas.openxmlformats.org/officeDocument/2006/relationships/hyperlink" Target="http://127.0.0.1:8000/doc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2026-09-29T08:40:14.940Z</dcterms:created>
  <dcterms:modified xsi:type="dcterms:W3CDTF">2026-09-29T08:40:14.940Z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