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LegalEaseAI</w:t>
      </w:r>
    </w:p>
    <w:p>
      <w:pPr>
        <w:jc w:val="center"/>
      </w:pPr>
      <w:r>
        <w:rPr>
          <w:b/>
          <w:color w:val="1F4E79"/>
          <w:sz w:val="32"/>
        </w:rPr>
        <w:t>Phase 1 — Brainstorming &amp; Ideation</w:t>
      </w:r>
    </w:p>
    <w:p>
      <w:pPr>
        <w:jc w:val="center"/>
      </w:pPr>
      <w:r>
        <w:rPr>
          <w:i/>
          <w:color w:val="666666"/>
          <w:sz w:val="21"/>
        </w:rPr>
        <w:t>Problem discovery, user empathy, and idea prioritization</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40"/>
            </w:pPr>
            <w:r/>
            <w:r>
              <w:rPr>
                <w:rFonts w:ascii="Calibri" w:hAnsi="Calibri"/>
                <w:b/>
                <w:color w:val="FFFFFF"/>
                <w:sz w:val="20"/>
              </w:rPr>
              <w:t>Project Information</w:t>
            </w:r>
          </w:p>
        </w:tc>
        <w:tc>
          <w:tcPr>
            <w:tcW w:type="dxa" w:w="7056"/>
            <w:vAlign w:val="center"/>
            <w:shd w:fill="1F4E79"/>
          </w:tcPr>
          <w:p>
            <w:pPr>
              <w:spacing w:after="40"/>
            </w:pPr>
            <w:r/>
            <w:r>
              <w:rPr>
                <w:rFonts w:ascii="Calibri" w:hAnsi="Calibri"/>
                <w:b/>
                <w:color w:val="FFFFFF"/>
                <w:sz w:val="20"/>
              </w:rPr>
              <w:t>Details</w:t>
            </w:r>
          </w:p>
        </w:tc>
      </w:tr>
      <w:tr>
        <w:tc>
          <w:tcPr>
            <w:tcW w:type="dxa" w:w="2880"/>
            <w:vAlign w:val="center"/>
            <w:shd w:fill="FFFFFF"/>
          </w:tcPr>
          <w:p>
            <w:pPr>
              <w:spacing w:after="40"/>
            </w:pPr>
            <w:r/>
            <w:r>
              <w:rPr>
                <w:rFonts w:ascii="Calibri" w:hAnsi="Calibri"/>
                <w:b w:val="0"/>
                <w:sz w:val="20"/>
              </w:rPr>
              <w:t>Date</w:t>
            </w:r>
          </w:p>
        </w:tc>
        <w:tc>
          <w:tcPr>
            <w:tcW w:type="dxa" w:w="7056"/>
            <w:vAlign w:val="center"/>
            <w:shd w:fill="FFFFFF"/>
          </w:tcPr>
          <w:p>
            <w:pPr>
              <w:spacing w:after="40"/>
            </w:pPr>
            <w:r/>
            <w:r>
              <w:rPr>
                <w:rFonts w:ascii="Calibri" w:hAnsi="Calibri"/>
                <w:b w:val="0"/>
                <w:sz w:val="20"/>
              </w:rPr>
              <w:t>28/09/2026</w:t>
            </w:r>
          </w:p>
        </w:tc>
      </w:tr>
      <w:tr>
        <w:tc>
          <w:tcPr>
            <w:tcW w:type="dxa" w:w="2880"/>
            <w:vAlign w:val="center"/>
            <w:shd w:fill="F3F6F9"/>
          </w:tcPr>
          <w:p>
            <w:pPr>
              <w:spacing w:after="40"/>
            </w:pPr>
            <w:r/>
            <w:r>
              <w:rPr>
                <w:rFonts w:ascii="Calibri" w:hAnsi="Calibri"/>
                <w:b w:val="0"/>
                <w:sz w:val="20"/>
              </w:rPr>
              <w:t>Team ID</w:t>
            </w:r>
          </w:p>
        </w:tc>
        <w:tc>
          <w:tcPr>
            <w:tcW w:type="dxa" w:w="7056"/>
            <w:vAlign w:val="center"/>
            <w:shd w:fill="F3F6F9"/>
          </w:tcPr>
          <w:p>
            <w:pPr>
              <w:spacing w:after="40"/>
            </w:pPr>
            <w:r/>
            <w:r>
              <w:rPr>
                <w:rFonts w:ascii="Calibri" w:hAnsi="Calibri"/>
                <w:b w:val="0"/>
                <w:sz w:val="20"/>
              </w:rPr>
              <w:t>SWTID-2026-2057</w:t>
            </w:r>
          </w:p>
        </w:tc>
      </w:tr>
      <w:tr>
        <w:tc>
          <w:tcPr>
            <w:tcW w:type="dxa" w:w="2880"/>
            <w:vAlign w:val="center"/>
            <w:shd w:fill="FFFFFF"/>
          </w:tcPr>
          <w:p>
            <w:pPr>
              <w:spacing w:after="40"/>
            </w:pPr>
            <w:r/>
            <w:r>
              <w:rPr>
                <w:rFonts w:ascii="Calibri" w:hAnsi="Calibri"/>
                <w:b w:val="0"/>
                <w:sz w:val="20"/>
              </w:rPr>
              <w:t>Team Size</w:t>
            </w:r>
          </w:p>
        </w:tc>
        <w:tc>
          <w:tcPr>
            <w:tcW w:type="dxa" w:w="7056"/>
            <w:vAlign w:val="center"/>
            <w:shd w:fill="FFFFFF"/>
          </w:tcPr>
          <w:p>
            <w:pPr>
              <w:spacing w:after="40"/>
            </w:pPr>
            <w:r/>
            <w:r>
              <w:rPr>
                <w:rFonts w:ascii="Calibri" w:hAnsi="Calibri"/>
                <w:b w:val="0"/>
                <w:sz w:val="20"/>
              </w:rPr>
              <w:t>4</w:t>
            </w:r>
          </w:p>
        </w:tc>
      </w:tr>
      <w:tr>
        <w:tc>
          <w:tcPr>
            <w:tcW w:type="dxa" w:w="2880"/>
            <w:vAlign w:val="center"/>
            <w:shd w:fill="F3F6F9"/>
          </w:tcPr>
          <w:p>
            <w:pPr>
              <w:spacing w:after="40"/>
            </w:pPr>
            <w:r/>
            <w:r>
              <w:rPr>
                <w:rFonts w:ascii="Calibri" w:hAnsi="Calibri"/>
                <w:b w:val="0"/>
                <w:sz w:val="20"/>
              </w:rPr>
              <w:t>Team</w:t>
            </w:r>
          </w:p>
        </w:tc>
        <w:tc>
          <w:tcPr>
            <w:tcW w:type="dxa" w:w="7056"/>
            <w:vAlign w:val="center"/>
            <w:shd w:fill="F3F6F9"/>
          </w:tcPr>
          <w:p>
            <w:pPr>
              <w:spacing w:after="40"/>
            </w:pPr>
            <w:r/>
            <w:r>
              <w:rPr>
                <w:rFonts w:ascii="Calibri" w:hAnsi="Calibri"/>
                <w:b w:val="0"/>
                <w:sz w:val="20"/>
              </w:rPr>
              <w:t>Team Leader: Iniyaashree M | Members: Kaniga P, Kanimozhi S, Kanimozhi G</w:t>
            </w:r>
          </w:p>
        </w:tc>
      </w:tr>
      <w:tr>
        <w:tc>
          <w:tcPr>
            <w:tcW w:type="dxa" w:w="2880"/>
            <w:vAlign w:val="center"/>
            <w:shd w:fill="FFFFFF"/>
          </w:tcPr>
          <w:p>
            <w:pPr>
              <w:spacing w:after="40"/>
            </w:pPr>
            <w:r/>
            <w:r>
              <w:rPr>
                <w:rFonts w:ascii="Calibri" w:hAnsi="Calibri"/>
                <w:b w:val="0"/>
                <w:sz w:val="20"/>
              </w:rPr>
              <w:t>Project Title</w:t>
            </w:r>
          </w:p>
        </w:tc>
        <w:tc>
          <w:tcPr>
            <w:tcW w:type="dxa" w:w="7056"/>
            <w:vAlign w:val="center"/>
            <w:shd w:fill="FFFFFF"/>
          </w:tcPr>
          <w:p>
            <w:pPr>
              <w:spacing w:after="40"/>
            </w:pPr>
            <w:r/>
            <w:r>
              <w:rPr>
                <w:rFonts w:ascii="Calibri" w:hAnsi="Calibri"/>
                <w:b w:val="0"/>
                <w:sz w:val="20"/>
              </w:rPr>
              <w:t>LegalEaseAI — AI-Powered Legal Document Generator</w:t>
            </w:r>
          </w:p>
        </w:tc>
      </w:tr>
    </w:tbl>
    <w:p>
      <w:pPr>
        <w:spacing w:after="40"/>
      </w:pPr>
    </w:p>
    <w:p>
      <w:pPr>
        <w:pStyle w:val="Heading1"/>
        <w:spacing w:before="200" w:after="100"/>
      </w:pPr>
      <w:r>
        <w:t>1. Purpose of Brainstorming</w:t>
      </w:r>
    </w:p>
    <w:p>
      <w:pPr>
        <w:spacing w:after="120" w:line="269" w:lineRule="auto"/>
      </w:pPr>
      <w:r>
        <w:t>The team explored practical software ideas that use generative AI to reduce the effort involved in preparing routine legal documents. The selected concept focuses on drafting assistance while clearly communicating that generated content is a first draft and not a substitute for professional legal advice.</w:t>
      </w:r>
    </w:p>
    <w:p>
      <w:pPr>
        <w:pStyle w:val="Heading1"/>
        <w:spacing w:before="200" w:after="100"/>
      </w:pPr>
      <w:r>
        <w:t>2. Candidate Ideas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Calibri" w:hAnsi="Calibri"/>
                <w:b/>
                <w:color w:val="FFFFFF"/>
                <w:sz w:val="20"/>
              </w:rPr>
              <w:t>Idea</w:t>
            </w:r>
          </w:p>
        </w:tc>
        <w:tc>
          <w:tcPr>
            <w:tcW w:type="dxa" w:w="3360"/>
            <w:vAlign w:val="center"/>
            <w:shd w:fill="1F4E79"/>
          </w:tcPr>
          <w:p>
            <w:pPr>
              <w:spacing w:after="40"/>
            </w:pPr>
            <w:r/>
            <w:r>
              <w:rPr>
                <w:rFonts w:ascii="Calibri" w:hAnsi="Calibri"/>
                <w:b/>
                <w:color w:val="FFFFFF"/>
                <w:sz w:val="20"/>
              </w:rPr>
              <w:t>Value to Users</w:t>
            </w:r>
          </w:p>
        </w:tc>
        <w:tc>
          <w:tcPr>
            <w:tcW w:type="dxa" w:w="3360"/>
            <w:vAlign w:val="center"/>
            <w:shd w:fill="1F4E79"/>
          </w:tcPr>
          <w:p>
            <w:pPr>
              <w:spacing w:after="40"/>
            </w:pPr>
            <w:r/>
            <w:r>
              <w:rPr>
                <w:rFonts w:ascii="Calibri" w:hAnsi="Calibri"/>
                <w:b/>
                <w:color w:val="FFFFFF"/>
                <w:sz w:val="20"/>
              </w:rPr>
              <w:t>Feasibility</w:t>
            </w:r>
          </w:p>
        </w:tc>
      </w:tr>
      <w:tr>
        <w:tc>
          <w:tcPr>
            <w:tcW w:type="dxa" w:w="3360"/>
            <w:vAlign w:val="center"/>
            <w:shd w:fill="FFFFFF"/>
          </w:tcPr>
          <w:p>
            <w:pPr>
              <w:spacing w:after="40"/>
            </w:pPr>
            <w:r/>
            <w:r>
              <w:rPr>
                <w:rFonts w:ascii="Calibri" w:hAnsi="Calibri"/>
                <w:b w:val="0"/>
                <w:sz w:val="20"/>
              </w:rPr>
              <w:t>AI legal document generator</w:t>
            </w:r>
          </w:p>
        </w:tc>
        <w:tc>
          <w:tcPr>
            <w:tcW w:type="dxa" w:w="3360"/>
            <w:vAlign w:val="center"/>
            <w:shd w:fill="FFFFFF"/>
          </w:tcPr>
          <w:p>
            <w:pPr>
              <w:spacing w:after="40"/>
            </w:pPr>
            <w:r/>
            <w:r>
              <w:rPr>
                <w:rFonts w:ascii="Calibri" w:hAnsi="Calibri"/>
                <w:b w:val="0"/>
                <w:sz w:val="20"/>
              </w:rPr>
              <w:t>Creates editable first drafts from document type, parties, terms, and effective date.</w:t>
            </w:r>
          </w:p>
        </w:tc>
        <w:tc>
          <w:tcPr>
            <w:tcW w:type="dxa" w:w="3360"/>
            <w:vAlign w:val="center"/>
            <w:shd w:fill="FFFFFF"/>
          </w:tcPr>
          <w:p>
            <w:pPr>
              <w:spacing w:after="40"/>
            </w:pPr>
            <w:r/>
            <w:r>
              <w:rPr>
                <w:rFonts w:ascii="Calibri" w:hAnsi="Calibri"/>
                <w:b w:val="0"/>
                <w:sz w:val="20"/>
              </w:rPr>
              <w:t>High</w:t>
            </w:r>
          </w:p>
        </w:tc>
      </w:tr>
      <w:tr>
        <w:tc>
          <w:tcPr>
            <w:tcW w:type="dxa" w:w="3360"/>
            <w:vAlign w:val="center"/>
            <w:shd w:fill="F3F6F9"/>
          </w:tcPr>
          <w:p>
            <w:pPr>
              <w:spacing w:after="40"/>
            </w:pPr>
            <w:r/>
            <w:r>
              <w:rPr>
                <w:rFonts w:ascii="Calibri" w:hAnsi="Calibri"/>
                <w:b w:val="0"/>
                <w:sz w:val="20"/>
              </w:rPr>
              <w:t>Legal clause explainer</w:t>
            </w:r>
          </w:p>
        </w:tc>
        <w:tc>
          <w:tcPr>
            <w:tcW w:type="dxa" w:w="3360"/>
            <w:vAlign w:val="center"/>
            <w:shd w:fill="F3F6F9"/>
          </w:tcPr>
          <w:p>
            <w:pPr>
              <w:spacing w:after="40"/>
            </w:pPr>
            <w:r/>
            <w:r>
              <w:rPr>
                <w:rFonts w:ascii="Calibri" w:hAnsi="Calibri"/>
                <w:b w:val="0"/>
                <w:sz w:val="20"/>
              </w:rPr>
              <w:t>Explains difficult clauses in plain language.</w:t>
            </w:r>
          </w:p>
        </w:tc>
        <w:tc>
          <w:tcPr>
            <w:tcW w:type="dxa" w:w="3360"/>
            <w:vAlign w:val="center"/>
            <w:shd w:fill="F3F6F9"/>
          </w:tcPr>
          <w:p>
            <w:pPr>
              <w:spacing w:after="40"/>
            </w:pPr>
            <w:r/>
            <w:r>
              <w:rPr>
                <w:rFonts w:ascii="Calibri" w:hAnsi="Calibri"/>
                <w:b w:val="0"/>
                <w:sz w:val="20"/>
              </w:rPr>
              <w:t>Medium</w:t>
            </w:r>
          </w:p>
        </w:tc>
      </w:tr>
      <w:tr>
        <w:tc>
          <w:tcPr>
            <w:tcW w:type="dxa" w:w="3360"/>
            <w:vAlign w:val="center"/>
            <w:shd w:fill="FFFFFF"/>
          </w:tcPr>
          <w:p>
            <w:pPr>
              <w:spacing w:after="40"/>
            </w:pPr>
            <w:r/>
            <w:r>
              <w:rPr>
                <w:rFonts w:ascii="Calibri" w:hAnsi="Calibri"/>
                <w:b w:val="0"/>
                <w:sz w:val="20"/>
              </w:rPr>
              <w:t>Case-law search assistant</w:t>
            </w:r>
          </w:p>
        </w:tc>
        <w:tc>
          <w:tcPr>
            <w:tcW w:type="dxa" w:w="3360"/>
            <w:vAlign w:val="center"/>
            <w:shd w:fill="FFFFFF"/>
          </w:tcPr>
          <w:p>
            <w:pPr>
              <w:spacing w:after="40"/>
            </w:pPr>
            <w:r/>
            <w:r>
              <w:rPr>
                <w:rFonts w:ascii="Calibri" w:hAnsi="Calibri"/>
                <w:b w:val="0"/>
                <w:sz w:val="20"/>
              </w:rPr>
              <w:t>Finds relevant legal decisions and references.</w:t>
            </w:r>
          </w:p>
        </w:tc>
        <w:tc>
          <w:tcPr>
            <w:tcW w:type="dxa" w:w="3360"/>
            <w:vAlign w:val="center"/>
            <w:shd w:fill="FFFFFF"/>
          </w:tcPr>
          <w:p>
            <w:pPr>
              <w:spacing w:after="40"/>
            </w:pPr>
            <w:r/>
            <w:r>
              <w:rPr>
                <w:rFonts w:ascii="Calibri" w:hAnsi="Calibri"/>
                <w:b w:val="0"/>
                <w:sz w:val="20"/>
              </w:rPr>
              <w:t>Medium/Low for v1</w:t>
            </w:r>
          </w:p>
        </w:tc>
      </w:tr>
      <w:tr>
        <w:tc>
          <w:tcPr>
            <w:tcW w:type="dxa" w:w="3360"/>
            <w:vAlign w:val="center"/>
            <w:shd w:fill="F3F6F9"/>
          </w:tcPr>
          <w:p>
            <w:pPr>
              <w:spacing w:after="40"/>
            </w:pPr>
            <w:r/>
            <w:r>
              <w:rPr>
                <w:rFonts w:ascii="Calibri" w:hAnsi="Calibri"/>
                <w:b w:val="0"/>
                <w:sz w:val="20"/>
              </w:rPr>
              <w:t>Compliance checklist tool</w:t>
            </w:r>
          </w:p>
        </w:tc>
        <w:tc>
          <w:tcPr>
            <w:tcW w:type="dxa" w:w="3360"/>
            <w:vAlign w:val="center"/>
            <w:shd w:fill="F3F6F9"/>
          </w:tcPr>
          <w:p>
            <w:pPr>
              <w:spacing w:after="40"/>
            </w:pPr>
            <w:r/>
            <w:r>
              <w:rPr>
                <w:rFonts w:ascii="Calibri" w:hAnsi="Calibri"/>
                <w:b w:val="0"/>
                <w:sz w:val="20"/>
              </w:rPr>
              <w:t>Creates task checklists for common business processes.</w:t>
            </w:r>
          </w:p>
        </w:tc>
        <w:tc>
          <w:tcPr>
            <w:tcW w:type="dxa" w:w="3360"/>
            <w:vAlign w:val="center"/>
            <w:shd w:fill="F3F6F9"/>
          </w:tcPr>
          <w:p>
            <w:pPr>
              <w:spacing w:after="40"/>
            </w:pPr>
            <w:r/>
            <w:r>
              <w:rPr>
                <w:rFonts w:ascii="Calibri" w:hAnsi="Calibri"/>
                <w:b w:val="0"/>
                <w:sz w:val="20"/>
              </w:rPr>
              <w:t>Medium</w:t>
            </w:r>
          </w:p>
        </w:tc>
      </w:tr>
      <w:tr>
        <w:tc>
          <w:tcPr>
            <w:tcW w:type="dxa" w:w="3360"/>
            <w:vAlign w:val="center"/>
            <w:shd w:fill="FFFFFF"/>
          </w:tcPr>
          <w:p>
            <w:pPr>
              <w:spacing w:after="40"/>
            </w:pPr>
            <w:r/>
            <w:r>
              <w:rPr>
                <w:rFonts w:ascii="Calibri" w:hAnsi="Calibri"/>
                <w:b w:val="0"/>
                <w:sz w:val="20"/>
              </w:rPr>
              <w:t>Legal appointment and reminder portal</w:t>
            </w:r>
          </w:p>
        </w:tc>
        <w:tc>
          <w:tcPr>
            <w:tcW w:type="dxa" w:w="3360"/>
            <w:vAlign w:val="center"/>
            <w:shd w:fill="FFFFFF"/>
          </w:tcPr>
          <w:p>
            <w:pPr>
              <w:spacing w:after="40"/>
            </w:pPr>
            <w:r/>
            <w:r>
              <w:rPr>
                <w:rFonts w:ascii="Calibri" w:hAnsi="Calibri"/>
                <w:b w:val="0"/>
                <w:sz w:val="20"/>
              </w:rPr>
              <w:t>Helps users organize consultations and deadlines.</w:t>
            </w:r>
          </w:p>
        </w:tc>
        <w:tc>
          <w:tcPr>
            <w:tcW w:type="dxa" w:w="3360"/>
            <w:vAlign w:val="center"/>
            <w:shd w:fill="FFFFFF"/>
          </w:tcPr>
          <w:p>
            <w:pPr>
              <w:spacing w:after="40"/>
            </w:pPr>
            <w:r/>
            <w:r>
              <w:rPr>
                <w:rFonts w:ascii="Calibri" w:hAnsi="Calibri"/>
                <w:b w:val="0"/>
                <w:sz w:val="20"/>
              </w:rPr>
              <w:t>Low for current scope</w:t>
            </w:r>
          </w:p>
        </w:tc>
      </w:tr>
    </w:tbl>
    <w:p>
      <w:pPr>
        <w:spacing w:after="40"/>
      </w:pPr>
    </w:p>
    <w:p>
      <w:pPr>
        <w:pStyle w:val="Heading1"/>
        <w:spacing w:before="200" w:after="100"/>
      </w:pPr>
      <w:r>
        <w:t>3. Selected Idea</w:t>
      </w:r>
    </w:p>
    <w:p>
      <w:pPr>
        <w:spacing w:after="120" w:line="269" w:lineRule="auto"/>
      </w:pPr>
      <w:r>
        <w:t>LegalEaseAI was selected as an AI-powered legal document generator. A user selects or enters a document type, supplies the parties, terms and conditions, and effective date, then receives an editable first draft. The application supports TXT, DOCX, and PDF download formats and includes a legal disclaimer.</w:t>
      </w:r>
    </w:p>
    <w:p>
      <w:pPr>
        <w:pStyle w:val="Heading1"/>
        <w:spacing w:before="200" w:after="100"/>
      </w:pPr>
      <w:r>
        <w:t>4. Prioritization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Calibri" w:hAnsi="Calibri"/>
                <w:b/>
                <w:color w:val="FFFFFF"/>
                <w:sz w:val="20"/>
              </w:rPr>
              <w:t>Priority</w:t>
            </w:r>
          </w:p>
        </w:tc>
        <w:tc>
          <w:tcPr>
            <w:tcW w:type="dxa" w:w="3360"/>
            <w:vAlign w:val="center"/>
            <w:shd w:fill="1F4E79"/>
          </w:tcPr>
          <w:p>
            <w:pPr>
              <w:spacing w:after="40"/>
            </w:pPr>
            <w:r/>
            <w:r>
              <w:rPr>
                <w:rFonts w:ascii="Calibri" w:hAnsi="Calibri"/>
                <w:b/>
                <w:color w:val="FFFFFF"/>
                <w:sz w:val="20"/>
              </w:rPr>
              <w:t>Feature</w:t>
            </w:r>
          </w:p>
        </w:tc>
        <w:tc>
          <w:tcPr>
            <w:tcW w:type="dxa" w:w="3360"/>
            <w:vAlign w:val="center"/>
            <w:shd w:fill="1F4E79"/>
          </w:tcPr>
          <w:p>
            <w:pPr>
              <w:spacing w:after="40"/>
            </w:pPr>
            <w:r/>
            <w:r>
              <w:rPr>
                <w:rFonts w:ascii="Calibri" w:hAnsi="Calibri"/>
                <w:b/>
                <w:color w:val="FFFFFF"/>
                <w:sz w:val="20"/>
              </w:rPr>
              <w:t>Reason</w:t>
            </w:r>
          </w:p>
        </w:tc>
      </w:tr>
      <w:tr>
        <w:tc>
          <w:tcPr>
            <w:tcW w:type="dxa" w:w="3360"/>
            <w:vAlign w:val="center"/>
            <w:shd w:fill="FFFFFF"/>
          </w:tcPr>
          <w:p>
            <w:pPr>
              <w:spacing w:after="40"/>
            </w:pPr>
            <w:r/>
            <w:r>
              <w:rPr>
                <w:rFonts w:ascii="Calibri" w:hAnsi="Calibri"/>
                <w:b w:val="0"/>
                <w:sz w:val="20"/>
              </w:rPr>
              <w:t>High</w:t>
            </w:r>
          </w:p>
        </w:tc>
        <w:tc>
          <w:tcPr>
            <w:tcW w:type="dxa" w:w="3360"/>
            <w:vAlign w:val="center"/>
            <w:shd w:fill="FFFFFF"/>
          </w:tcPr>
          <w:p>
            <w:pPr>
              <w:spacing w:after="40"/>
            </w:pPr>
            <w:r/>
            <w:r>
              <w:rPr>
                <w:rFonts w:ascii="Calibri" w:hAnsi="Calibri"/>
                <w:b w:val="0"/>
                <w:sz w:val="20"/>
              </w:rPr>
              <w:t>Document generation through Gemini</w:t>
            </w:r>
          </w:p>
        </w:tc>
        <w:tc>
          <w:tcPr>
            <w:tcW w:type="dxa" w:w="3360"/>
            <w:vAlign w:val="center"/>
            <w:shd w:fill="FFFFFF"/>
          </w:tcPr>
          <w:p>
            <w:pPr>
              <w:spacing w:after="40"/>
            </w:pPr>
            <w:r/>
            <w:r>
              <w:rPr>
                <w:rFonts w:ascii="Calibri" w:hAnsi="Calibri"/>
                <w:b w:val="0"/>
                <w:sz w:val="20"/>
              </w:rPr>
              <w:t>Core value proposition and already implemented through the FastAPI /generate endpoint.</w:t>
            </w:r>
          </w:p>
        </w:tc>
      </w:tr>
      <w:tr>
        <w:tc>
          <w:tcPr>
            <w:tcW w:type="dxa" w:w="3360"/>
            <w:vAlign w:val="center"/>
            <w:shd w:fill="F3F6F9"/>
          </w:tcPr>
          <w:p>
            <w:pPr>
              <w:spacing w:after="40"/>
            </w:pPr>
            <w:r/>
            <w:r>
              <w:rPr>
                <w:rFonts w:ascii="Calibri" w:hAnsi="Calibri"/>
                <w:b w:val="0"/>
                <w:sz w:val="20"/>
              </w:rPr>
              <w:t>High</w:t>
            </w:r>
          </w:p>
        </w:tc>
        <w:tc>
          <w:tcPr>
            <w:tcW w:type="dxa" w:w="3360"/>
            <w:vAlign w:val="center"/>
            <w:shd w:fill="F3F6F9"/>
          </w:tcPr>
          <w:p>
            <w:pPr>
              <w:spacing w:after="40"/>
            </w:pPr>
            <w:r/>
            <w:r>
              <w:rPr>
                <w:rFonts w:ascii="Calibri" w:hAnsi="Calibri"/>
                <w:b w:val="0"/>
                <w:sz w:val="20"/>
              </w:rPr>
              <w:t>Editable document preview</w:t>
            </w:r>
          </w:p>
        </w:tc>
        <w:tc>
          <w:tcPr>
            <w:tcW w:type="dxa" w:w="3360"/>
            <w:vAlign w:val="center"/>
            <w:shd w:fill="F3F6F9"/>
          </w:tcPr>
          <w:p>
            <w:pPr>
              <w:spacing w:after="40"/>
            </w:pPr>
            <w:r/>
            <w:r>
              <w:rPr>
                <w:rFonts w:ascii="Calibri" w:hAnsi="Calibri"/>
                <w:b w:val="0"/>
                <w:sz w:val="20"/>
              </w:rPr>
              <w:t>Allows the user to review and modify the generated draft before export.</w:t>
            </w:r>
          </w:p>
        </w:tc>
      </w:tr>
      <w:tr>
        <w:tc>
          <w:tcPr>
            <w:tcW w:type="dxa" w:w="3360"/>
            <w:vAlign w:val="center"/>
            <w:shd w:fill="FFFFFF"/>
          </w:tcPr>
          <w:p>
            <w:pPr>
              <w:spacing w:after="40"/>
            </w:pPr>
            <w:r/>
            <w:r>
              <w:rPr>
                <w:rFonts w:ascii="Calibri" w:hAnsi="Calibri"/>
                <w:b w:val="0"/>
                <w:sz w:val="20"/>
              </w:rPr>
              <w:t>High</w:t>
            </w:r>
          </w:p>
        </w:tc>
        <w:tc>
          <w:tcPr>
            <w:tcW w:type="dxa" w:w="3360"/>
            <w:vAlign w:val="center"/>
            <w:shd w:fill="FFFFFF"/>
          </w:tcPr>
          <w:p>
            <w:pPr>
              <w:spacing w:after="40"/>
            </w:pPr>
            <w:r/>
            <w:r>
              <w:rPr>
                <w:rFonts w:ascii="Calibri" w:hAnsi="Calibri"/>
                <w:b w:val="0"/>
                <w:sz w:val="20"/>
              </w:rPr>
              <w:t>DOCX and PDF export</w:t>
            </w:r>
          </w:p>
        </w:tc>
        <w:tc>
          <w:tcPr>
            <w:tcW w:type="dxa" w:w="3360"/>
            <w:vAlign w:val="center"/>
            <w:shd w:fill="FFFFFF"/>
          </w:tcPr>
          <w:p>
            <w:pPr>
              <w:spacing w:after="40"/>
            </w:pPr>
            <w:r/>
            <w:r>
              <w:rPr>
                <w:rFonts w:ascii="Calibri" w:hAnsi="Calibri"/>
                <w:b w:val="0"/>
                <w:sz w:val="20"/>
              </w:rPr>
              <w:t>Makes the draft reusable outside the application.</w:t>
            </w:r>
          </w:p>
        </w:tc>
      </w:tr>
      <w:tr>
        <w:tc>
          <w:tcPr>
            <w:tcW w:type="dxa" w:w="3360"/>
            <w:vAlign w:val="center"/>
            <w:shd w:fill="F3F6F9"/>
          </w:tcPr>
          <w:p>
            <w:pPr>
              <w:spacing w:after="40"/>
            </w:pPr>
            <w:r/>
            <w:r>
              <w:rPr>
                <w:rFonts w:ascii="Calibri" w:hAnsi="Calibri"/>
                <w:b w:val="0"/>
                <w:sz w:val="20"/>
              </w:rPr>
              <w:t>High</w:t>
            </w:r>
          </w:p>
        </w:tc>
        <w:tc>
          <w:tcPr>
            <w:tcW w:type="dxa" w:w="3360"/>
            <w:vAlign w:val="center"/>
            <w:shd w:fill="F3F6F9"/>
          </w:tcPr>
          <w:p>
            <w:pPr>
              <w:spacing w:after="40"/>
            </w:pPr>
            <w:r/>
            <w:r>
              <w:rPr>
                <w:rFonts w:ascii="Calibri" w:hAnsi="Calibri"/>
                <w:b w:val="0"/>
                <w:sz w:val="20"/>
              </w:rPr>
              <w:t>Input validation and error handling</w:t>
            </w:r>
          </w:p>
        </w:tc>
        <w:tc>
          <w:tcPr>
            <w:tcW w:type="dxa" w:w="3360"/>
            <w:vAlign w:val="center"/>
            <w:shd w:fill="F3F6F9"/>
          </w:tcPr>
          <w:p>
            <w:pPr>
              <w:spacing w:after="40"/>
            </w:pPr>
            <w:r/>
            <w:r>
              <w:rPr>
                <w:rFonts w:ascii="Calibri" w:hAnsi="Calibri"/>
                <w:b w:val="0"/>
                <w:sz w:val="20"/>
              </w:rPr>
              <w:t>Prevents incomplete requests and gives understandable failure messages.</w:t>
            </w:r>
          </w:p>
        </w:tc>
      </w:tr>
      <w:tr>
        <w:tc>
          <w:tcPr>
            <w:tcW w:type="dxa" w:w="3360"/>
            <w:vAlign w:val="center"/>
            <w:shd w:fill="FFFFFF"/>
          </w:tcPr>
          <w:p>
            <w:pPr>
              <w:spacing w:after="40"/>
            </w:pPr>
            <w:r/>
            <w:r>
              <w:rPr>
                <w:rFonts w:ascii="Calibri" w:hAnsi="Calibri"/>
                <w:b w:val="0"/>
                <w:sz w:val="20"/>
              </w:rPr>
              <w:t>Medium</w:t>
            </w:r>
          </w:p>
        </w:tc>
        <w:tc>
          <w:tcPr>
            <w:tcW w:type="dxa" w:w="3360"/>
            <w:vAlign w:val="center"/>
            <w:shd w:fill="FFFFFF"/>
          </w:tcPr>
          <w:p>
            <w:pPr>
              <w:spacing w:after="40"/>
            </w:pPr>
            <w:r/>
            <w:r>
              <w:rPr>
                <w:rFonts w:ascii="Calibri" w:hAnsi="Calibri"/>
                <w:b w:val="0"/>
                <w:sz w:val="20"/>
              </w:rPr>
              <w:t>Optional logo upload</w:t>
            </w:r>
          </w:p>
        </w:tc>
        <w:tc>
          <w:tcPr>
            <w:tcW w:type="dxa" w:w="3360"/>
            <w:vAlign w:val="center"/>
            <w:shd w:fill="FFFFFF"/>
          </w:tcPr>
          <w:p>
            <w:pPr>
              <w:spacing w:after="40"/>
            </w:pPr>
            <w:r/>
            <w:r>
              <w:rPr>
                <w:rFonts w:ascii="Calibri" w:hAnsi="Calibri"/>
                <w:b w:val="0"/>
                <w:sz w:val="20"/>
              </w:rPr>
              <w:t>Adds branding to generated DOCX/PDF files.</w:t>
            </w:r>
          </w:p>
        </w:tc>
      </w:tr>
      <w:tr>
        <w:tc>
          <w:tcPr>
            <w:tcW w:type="dxa" w:w="3360"/>
            <w:vAlign w:val="center"/>
            <w:shd w:fill="F3F6F9"/>
          </w:tcPr>
          <w:p>
            <w:pPr>
              <w:spacing w:after="40"/>
            </w:pPr>
            <w:r/>
            <w:r>
              <w:rPr>
                <w:rFonts w:ascii="Calibri" w:hAnsi="Calibri"/>
                <w:b w:val="0"/>
                <w:sz w:val="20"/>
              </w:rPr>
              <w:t>Future</w:t>
            </w:r>
          </w:p>
        </w:tc>
        <w:tc>
          <w:tcPr>
            <w:tcW w:type="dxa" w:w="3360"/>
            <w:vAlign w:val="center"/>
            <w:shd w:fill="F3F6F9"/>
          </w:tcPr>
          <w:p>
            <w:pPr>
              <w:spacing w:after="40"/>
            </w:pPr>
            <w:r/>
            <w:r>
              <w:rPr>
                <w:rFonts w:ascii="Calibri" w:hAnsi="Calibri"/>
                <w:b w:val="0"/>
                <w:sz w:val="20"/>
              </w:rPr>
              <w:t>Templates, clause library, accounts, history and collaboration</w:t>
            </w:r>
          </w:p>
        </w:tc>
        <w:tc>
          <w:tcPr>
            <w:tcW w:type="dxa" w:w="3360"/>
            <w:vAlign w:val="center"/>
            <w:shd w:fill="F3F6F9"/>
          </w:tcPr>
          <w:p>
            <w:pPr>
              <w:spacing w:after="40"/>
            </w:pPr>
            <w:r/>
            <w:r>
              <w:rPr>
                <w:rFonts w:ascii="Calibri" w:hAnsi="Calibri"/>
                <w:b w:val="0"/>
                <w:sz w:val="20"/>
              </w:rPr>
              <w:t>Requires broader product, storage, security, and legal-review scope.</w:t>
            </w:r>
          </w:p>
        </w:tc>
      </w:tr>
    </w:tbl>
    <w:p>
      <w:pPr>
        <w:spacing w:after="40"/>
      </w:pPr>
    </w:p>
    <w:p>
      <w:pPr>
        <w:pStyle w:val="Heading1"/>
        <w:spacing w:before="200" w:after="100"/>
      </w:pPr>
      <w:r>
        <w:t>5. Empathy Snapshot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40"/>
            </w:pPr>
            <w:r/>
            <w:r>
              <w:rPr>
                <w:rFonts w:ascii="Calibri" w:hAnsi="Calibri"/>
                <w:b/>
                <w:color w:val="FFFFFF"/>
                <w:sz w:val="20"/>
              </w:rPr>
              <w:t>User Says</w:t>
            </w:r>
          </w:p>
        </w:tc>
        <w:tc>
          <w:tcPr>
            <w:tcW w:type="dxa" w:w="2520"/>
            <w:vAlign w:val="center"/>
            <w:shd w:fill="1F4E79"/>
          </w:tcPr>
          <w:p>
            <w:pPr>
              <w:spacing w:after="40"/>
            </w:pPr>
            <w:r/>
            <w:r>
              <w:rPr>
                <w:rFonts w:ascii="Calibri" w:hAnsi="Calibri"/>
                <w:b/>
                <w:color w:val="FFFFFF"/>
                <w:sz w:val="20"/>
              </w:rPr>
              <w:t>User Thinks</w:t>
            </w:r>
          </w:p>
        </w:tc>
        <w:tc>
          <w:tcPr>
            <w:tcW w:type="dxa" w:w="2520"/>
            <w:vAlign w:val="center"/>
            <w:shd w:fill="1F4E79"/>
          </w:tcPr>
          <w:p>
            <w:pPr>
              <w:spacing w:after="40"/>
            </w:pPr>
            <w:r/>
            <w:r>
              <w:rPr>
                <w:rFonts w:ascii="Calibri" w:hAnsi="Calibri"/>
                <w:b/>
                <w:color w:val="FFFFFF"/>
                <w:sz w:val="20"/>
              </w:rPr>
              <w:t>User Does</w:t>
            </w:r>
          </w:p>
        </w:tc>
        <w:tc>
          <w:tcPr>
            <w:tcW w:type="dxa" w:w="2520"/>
            <w:vAlign w:val="center"/>
            <w:shd w:fill="1F4E79"/>
          </w:tcPr>
          <w:p>
            <w:pPr>
              <w:spacing w:after="40"/>
            </w:pPr>
            <w:r/>
            <w:r>
              <w:rPr>
                <w:rFonts w:ascii="Calibri" w:hAnsi="Calibri"/>
                <w:b/>
                <w:color w:val="FFFFFF"/>
                <w:sz w:val="20"/>
              </w:rPr>
              <w:t>User Feels</w:t>
            </w:r>
          </w:p>
        </w:tc>
      </w:tr>
      <w:tr>
        <w:tc>
          <w:tcPr>
            <w:tcW w:type="dxa" w:w="2520"/>
            <w:vAlign w:val="center"/>
            <w:shd w:fill="FFFFFF"/>
          </w:tcPr>
          <w:p>
            <w:pPr>
              <w:spacing w:after="40"/>
            </w:pPr>
            <w:r/>
            <w:r>
              <w:rPr>
                <w:rFonts w:ascii="Calibri" w:hAnsi="Calibri"/>
                <w:b w:val="0"/>
                <w:sz w:val="20"/>
              </w:rPr>
              <w:t>“I need a simple first draft.”</w:t>
            </w:r>
          </w:p>
        </w:tc>
        <w:tc>
          <w:tcPr>
            <w:tcW w:type="dxa" w:w="2520"/>
            <w:vAlign w:val="center"/>
            <w:shd w:fill="FFFFFF"/>
          </w:tcPr>
          <w:p>
            <w:pPr>
              <w:spacing w:after="40"/>
            </w:pPr>
            <w:r/>
            <w:r>
              <w:rPr>
                <w:rFonts w:ascii="Calibri" w:hAnsi="Calibri"/>
                <w:b w:val="0"/>
                <w:sz w:val="20"/>
              </w:rPr>
              <w:t>“Did I provide enough details?”</w:t>
            </w:r>
          </w:p>
        </w:tc>
        <w:tc>
          <w:tcPr>
            <w:tcW w:type="dxa" w:w="2520"/>
            <w:vAlign w:val="center"/>
            <w:shd w:fill="FFFFFF"/>
          </w:tcPr>
          <w:p>
            <w:pPr>
              <w:spacing w:after="40"/>
            </w:pPr>
            <w:r/>
            <w:r>
              <w:rPr>
                <w:rFonts w:ascii="Calibri" w:hAnsi="Calibri"/>
                <w:b w:val="0"/>
                <w:sz w:val="20"/>
              </w:rPr>
              <w:t>Copies information into a document manually.</w:t>
            </w:r>
          </w:p>
        </w:tc>
        <w:tc>
          <w:tcPr>
            <w:tcW w:type="dxa" w:w="2520"/>
            <w:vAlign w:val="center"/>
            <w:shd w:fill="FFFFFF"/>
          </w:tcPr>
          <w:p>
            <w:pPr>
              <w:spacing w:after="40"/>
            </w:pPr>
            <w:r/>
            <w:r>
              <w:rPr>
                <w:rFonts w:ascii="Calibri" w:hAnsi="Calibri"/>
                <w:b w:val="0"/>
                <w:sz w:val="20"/>
              </w:rPr>
              <w:t>Time-pressed.</w:t>
            </w:r>
          </w:p>
        </w:tc>
      </w:tr>
      <w:tr>
        <w:tc>
          <w:tcPr>
            <w:tcW w:type="dxa" w:w="2520"/>
            <w:vAlign w:val="center"/>
            <w:shd w:fill="F3F6F9"/>
          </w:tcPr>
          <w:p>
            <w:pPr>
              <w:spacing w:after="40"/>
            </w:pPr>
            <w:r/>
            <w:r>
              <w:rPr>
                <w:rFonts w:ascii="Calibri" w:hAnsi="Calibri"/>
                <w:b w:val="0"/>
                <w:sz w:val="20"/>
              </w:rPr>
              <w:t>“Can I edit it before downloading?”</w:t>
            </w:r>
          </w:p>
        </w:tc>
        <w:tc>
          <w:tcPr>
            <w:tcW w:type="dxa" w:w="2520"/>
            <w:vAlign w:val="center"/>
            <w:shd w:fill="F3F6F9"/>
          </w:tcPr>
          <w:p>
            <w:pPr>
              <w:spacing w:after="40"/>
            </w:pPr>
            <w:r/>
            <w:r>
              <w:rPr>
                <w:rFonts w:ascii="Calibri" w:hAnsi="Calibri"/>
                <w:b w:val="0"/>
                <w:sz w:val="20"/>
              </w:rPr>
              <w:t>“Can I trust this output?”</w:t>
            </w:r>
          </w:p>
        </w:tc>
        <w:tc>
          <w:tcPr>
            <w:tcW w:type="dxa" w:w="2520"/>
            <w:vAlign w:val="center"/>
            <w:shd w:fill="F3F6F9"/>
          </w:tcPr>
          <w:p>
            <w:pPr>
              <w:spacing w:after="40"/>
            </w:pPr>
            <w:r/>
            <w:r>
              <w:rPr>
                <w:rFonts w:ascii="Calibri" w:hAnsi="Calibri"/>
                <w:b w:val="0"/>
                <w:sz w:val="20"/>
              </w:rPr>
              <w:t>Reviews and revises generated text.</w:t>
            </w:r>
          </w:p>
        </w:tc>
        <w:tc>
          <w:tcPr>
            <w:tcW w:type="dxa" w:w="2520"/>
            <w:vAlign w:val="center"/>
            <w:shd w:fill="F3F6F9"/>
          </w:tcPr>
          <w:p>
            <w:pPr>
              <w:spacing w:after="40"/>
            </w:pPr>
            <w:r/>
            <w:r>
              <w:rPr>
                <w:rFonts w:ascii="Calibri" w:hAnsi="Calibri"/>
                <w:b w:val="0"/>
                <w:sz w:val="20"/>
              </w:rPr>
              <w:t>Cautious.</w:t>
            </w:r>
          </w:p>
        </w:tc>
      </w:tr>
      <w:tr>
        <w:tc>
          <w:tcPr>
            <w:tcW w:type="dxa" w:w="2520"/>
            <w:vAlign w:val="center"/>
            <w:shd w:fill="FFFFFF"/>
          </w:tcPr>
          <w:p>
            <w:pPr>
              <w:spacing w:after="40"/>
            </w:pPr>
            <w:r/>
            <w:r>
              <w:rPr>
                <w:rFonts w:ascii="Calibri" w:hAnsi="Calibri"/>
                <w:b w:val="0"/>
                <w:sz w:val="20"/>
              </w:rPr>
              <w:t>“Please do not invent facts.”</w:t>
            </w:r>
          </w:p>
        </w:tc>
        <w:tc>
          <w:tcPr>
            <w:tcW w:type="dxa" w:w="2520"/>
            <w:vAlign w:val="center"/>
            <w:shd w:fill="FFFFFF"/>
          </w:tcPr>
          <w:p>
            <w:pPr>
              <w:spacing w:after="40"/>
            </w:pPr>
            <w:r/>
            <w:r>
              <w:rPr>
                <w:rFonts w:ascii="Calibri" w:hAnsi="Calibri"/>
                <w:b w:val="0"/>
                <w:sz w:val="20"/>
              </w:rPr>
              <w:t>“Will this be treated as legal advice?”</w:t>
            </w:r>
          </w:p>
        </w:tc>
        <w:tc>
          <w:tcPr>
            <w:tcW w:type="dxa" w:w="2520"/>
            <w:vAlign w:val="center"/>
            <w:shd w:fill="FFFFFF"/>
          </w:tcPr>
          <w:p>
            <w:pPr>
              <w:spacing w:after="40"/>
            </w:pPr>
            <w:r/>
            <w:r>
              <w:rPr>
                <w:rFonts w:ascii="Calibri" w:hAnsi="Calibri"/>
                <w:b w:val="0"/>
                <w:sz w:val="20"/>
              </w:rPr>
              <w:t>Seeks professional review for important matters.</w:t>
            </w:r>
          </w:p>
        </w:tc>
        <w:tc>
          <w:tcPr>
            <w:tcW w:type="dxa" w:w="2520"/>
            <w:vAlign w:val="center"/>
            <w:shd w:fill="FFFFFF"/>
          </w:tcPr>
          <w:p>
            <w:pPr>
              <w:spacing w:after="40"/>
            </w:pPr>
            <w:r/>
            <w:r>
              <w:rPr>
                <w:rFonts w:ascii="Calibri" w:hAnsi="Calibri"/>
                <w:b w:val="0"/>
                <w:sz w:val="20"/>
              </w:rPr>
              <w:t>Concerned but hopeful.</w:t>
            </w:r>
          </w:p>
        </w:tc>
      </w:tr>
    </w:tbl>
    <w:p>
      <w:pPr>
        <w:spacing w:after="40"/>
      </w:pPr>
    </w:p>
    <w:p>
      <w:pPr>
        <w:pStyle w:val="Heading1"/>
        <w:spacing w:before="200" w:after="100"/>
      </w:pPr>
      <w:r>
        <w:t>6. Ideation Decision</w:t>
      </w:r>
    </w:p>
    <w:p>
      <w:pPr>
        <w:spacing w:after="120" w:line="269" w:lineRule="auto"/>
      </w:pPr>
      <w:r>
        <w:t>The project should remain focused on safe, editable first-draft generation. The product must not claim that generated documents are legally valid, must not present itself as a lawyer, and must encourage qualified legal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6666"/>
        <w:sz w:val="16"/>
      </w:rPr>
      <w:t>LegalEaseAI | AI-assisted draft generation | Review with a qualified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01_Brainstorming_and_Ideation_Phase</dc:title>
  <dc:subject>LegalEaseAI project phase documentation</dc:subject>
  <dc:creator>LegalEaseAI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