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LegalEaseAI</w:t>
      </w:r>
    </w:p>
    <w:p>
      <w:pPr>
        <w:jc w:val="center"/>
      </w:pPr>
      <w:r>
        <w:rPr>
          <w:b/>
          <w:color w:val="1F4E79"/>
          <w:sz w:val="32"/>
        </w:rPr>
        <w:t>Phase 5 — Project Development</w:t>
      </w:r>
    </w:p>
    <w:p>
      <w:pPr>
        <w:jc w:val="center"/>
      </w:pPr>
      <w:r>
        <w:rPr>
          <w:i/>
          <w:color w:val="666666"/>
          <w:sz w:val="21"/>
        </w:rPr>
        <w:t>Implementation summary and source structure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Project Information</w:t>
            </w:r>
          </w:p>
        </w:tc>
        <w:tc>
          <w:tcPr>
            <w:tcW w:type="dxa" w:w="705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Date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28/09/2026</w:t>
            </w:r>
          </w:p>
        </w:tc>
      </w:tr>
      <w:tr>
        <w:tc>
          <w:tcPr>
            <w:tcW w:type="dxa" w:w="288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Team ID</w:t>
            </w:r>
          </w:p>
        </w:tc>
        <w:tc>
          <w:tcPr>
            <w:tcW w:type="dxa" w:w="7056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SWTID-2026-2057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Team Size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</w:tr>
      <w:tr>
        <w:tc>
          <w:tcPr>
            <w:tcW w:type="dxa" w:w="288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Team</w:t>
            </w:r>
          </w:p>
        </w:tc>
        <w:tc>
          <w:tcPr>
            <w:tcW w:type="dxa" w:w="7056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Team Leader: Iniyaashree M | Members: Kaniga P, Kanimozhi S, Kanimozhi G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Project Title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LegalEaseAI — AI-Powered Legal Document Generator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</w:pPr>
      <w:r>
        <w:t>1. Implementation Overview</w:t>
      </w:r>
    </w:p>
    <w:p>
      <w:pPr>
        <w:spacing w:after="120" w:line="269" w:lineRule="auto"/>
      </w:pPr>
      <w:r>
        <w:t>LegalEaseAI is implemented as a two-part local application: a FastAPI backend that exposes document generation and a Streamlit frontend that collects inputs, displays the draft, and produces downloadable formats. The application uses Google Gemini through the google-genai SDK and loads credentials from environment variables.</w:t>
      </w:r>
    </w:p>
    <w:p>
      <w:pPr>
        <w:pStyle w:val="Heading1"/>
        <w:spacing w:before="200" w:after="100"/>
      </w:pPr>
      <w:r>
        <w:t>2. Project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504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Implementation Responsibility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main.py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Creates the FastAPI application, enables CORS, registers routes, and exposes / and /health.</w:t>
            </w:r>
          </w:p>
        </w:tc>
      </w:tr>
      <w:tr>
        <w:tc>
          <w:tcPr>
            <w:tcW w:type="dxa" w:w="504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routes.py</w:t>
            </w:r>
          </w:p>
        </w:tc>
        <w:tc>
          <w:tcPr>
            <w:tcW w:type="dxa" w:w="504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Defines DocumentRequest and POST /generate; maps generator failures to HTTP 500 responses.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app.py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Streamlit UI, input controls, disclaimer, backend request, preview, edit state, and downloads.</w:t>
            </w:r>
          </w:p>
        </w:tc>
      </w:tr>
      <w:tr>
        <w:tc>
          <w:tcPr>
            <w:tcW w:type="dxa" w:w="504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ai_core/gemini_generator.py</w:t>
            </w:r>
          </w:p>
        </w:tc>
        <w:tc>
          <w:tcPr>
            <w:tcW w:type="dxa" w:w="504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Loads Gemini configuration, builds prompts, calls Gemini, handles retries, and returns text.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utils/document_formatter.py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Sanitizes text and formats generated output as DOCX and PDF.</w:t>
            </w:r>
          </w:p>
        </w:tc>
      </w:tr>
      <w:tr>
        <w:tc>
          <w:tcPr>
            <w:tcW w:type="dxa" w:w="504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requirements.txt</w:t>
            </w:r>
          </w:p>
        </w:tc>
        <w:tc>
          <w:tcPr>
            <w:tcW w:type="dxa" w:w="504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Lists FastAPI, Uvicorn, Streamlit, requests, dotenv, python-docx, fpdf2, Pillow, google-genai, and Pydantic.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.gitignore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Excludes virtual environment, cache files, .env, Streamlit secrets, and OS metadata.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</w:pPr>
      <w:r>
        <w:t>3. Backend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36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36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Response / Purpose</w:t>
            </w:r>
          </w:p>
        </w:tc>
      </w:tr>
      <w:tr>
        <w:tc>
          <w:tcPr>
            <w:tcW w:type="dxa" w:w="336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/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Returns a running-message and success status.</w:t>
            </w:r>
          </w:p>
        </w:tc>
      </w:tr>
      <w:tr>
        <w:tc>
          <w:tcPr>
            <w:tcW w:type="dxa" w:w="336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36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/health</w:t>
            </w:r>
          </w:p>
        </w:tc>
        <w:tc>
          <w:tcPr>
            <w:tcW w:type="dxa" w:w="336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Returns {"status": "healthy"}.</w:t>
            </w:r>
          </w:p>
        </w:tc>
      </w:tr>
      <w:tr>
        <w:tc>
          <w:tcPr>
            <w:tcW w:type="dxa" w:w="336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/generate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Accepts document_type, parties, terms, and effective_date; returns generated document text.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</w:pPr>
      <w:r>
        <w:t>4. Frontend Flow</w:t>
      </w:r>
    </w:p>
    <w:p>
      <w:pPr>
        <w:pStyle w:val="ListNumber"/>
        <w:spacing w:after="60"/>
      </w:pPr>
      <w:r>
        <w:t>Configure document type, effective date, parties, terms, and optional logo in the sidebar.</w:t>
      </w:r>
    </w:p>
    <w:p>
      <w:pPr>
        <w:pStyle w:val="ListNumber"/>
        <w:spacing w:after="60"/>
      </w:pPr>
      <w:r>
        <w:t>Click Generate Document.</w:t>
      </w:r>
    </w:p>
    <w:p>
      <w:pPr>
        <w:pStyle w:val="ListNumber"/>
        <w:spacing w:after="60"/>
      </w:pPr>
      <w:r>
        <w:t>Frontend validates that required values are not blank.</w:t>
      </w:r>
    </w:p>
    <w:p>
      <w:pPr>
        <w:pStyle w:val="ListNumber"/>
        <w:spacing w:after="60"/>
      </w:pPr>
      <w:r>
        <w:t>Frontend sends a 120-second-timeout POST request to the configured BACKEND_URL.</w:t>
      </w:r>
    </w:p>
    <w:p>
      <w:pPr>
        <w:pStyle w:val="ListNumber"/>
        <w:spacing w:after="60"/>
      </w:pPr>
      <w:r>
        <w:t>Generated text is saved in Streamlit session state and displayed in an editable text area.</w:t>
      </w:r>
    </w:p>
    <w:p>
      <w:pPr>
        <w:pStyle w:val="ListNumber"/>
        <w:spacing w:after="60"/>
      </w:pPr>
      <w:r>
        <w:t>The edited text is rendered as an escaped preview and converted into TXT, DOCX, and PDF downloads.</w:t>
      </w:r>
    </w:p>
    <w:p>
      <w:pPr>
        <w:pStyle w:val="Heading1"/>
        <w:spacing w:before="200" w:after="100"/>
      </w:pPr>
      <w:r>
        <w:t>5. Legal and Security Controls</w:t>
      </w:r>
    </w:p>
    <w:p>
      <w:pPr>
        <w:pStyle w:val="ListBullet"/>
        <w:spacing w:after="60"/>
      </w:pPr>
      <w:r>
        <w:t>The Gemini API key is read from GEMINI_API_KEY and .env is ignored by Git.</w:t>
      </w:r>
    </w:p>
    <w:p>
      <w:pPr>
        <w:pStyle w:val="ListBullet"/>
        <w:spacing w:after="60"/>
      </w:pPr>
      <w:r>
        <w:t>The prompt instructs the model not to invent facts or claim legal validity.</w:t>
      </w:r>
    </w:p>
    <w:p>
      <w:pPr>
        <w:pStyle w:val="ListBullet"/>
        <w:spacing w:after="60"/>
      </w:pPr>
      <w:r>
        <w:t>The UI displays a disclaimer that output is an AI-assisted draft and not a substitute for legal advice.</w:t>
      </w:r>
    </w:p>
    <w:p>
      <w:pPr>
        <w:pStyle w:val="ListBullet"/>
        <w:spacing w:after="60"/>
      </w:pPr>
      <w:r>
        <w:t>Generated preview content is HTML-escaped before being placed into the preview container.</w:t>
      </w:r>
    </w:p>
    <w:p>
      <w:pPr>
        <w:pStyle w:val="ListBullet"/>
        <w:spacing w:after="60"/>
      </w:pPr>
      <w:r>
        <w:t>Input length constraints reduce excessively large requests.</w:t>
      </w:r>
    </w:p>
    <w:p>
      <w:pPr>
        <w:pStyle w:val="Heading1"/>
        <w:spacing w:before="200" w:after="100"/>
      </w:pPr>
      <w:r>
        <w:t>6. Current Implementation Boundary</w:t>
      </w:r>
    </w:p>
    <w:p>
      <w:pPr>
        <w:spacing w:after="120" w:line="269" w:lineRule="auto"/>
      </w:pPr>
      <w:r>
        <w:t>The current implementation does not store user documents, authenticate users, provide jurisdiction-specific legal analysis, verify legal correctness, or support direct legal filing. These limitations must remain visible in product documentation.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666666"/>
        <w:sz w:val="16"/>
      </w:rPr>
      <w:t>LegalEaseAI | AI-assisted draft generation | Review with a qualified legal professional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05_Project_Development_Phase</dc:title>
  <dc:subject>LegalEaseAI project phase documentation</dc:subject>
  <dc:creator>LegalEaseAI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