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LegalEaseAI</w:t>
      </w:r>
    </w:p>
    <w:p>
      <w:pPr>
        <w:jc w:val="center"/>
      </w:pPr>
      <w:r>
        <w:rPr>
          <w:b/>
          <w:color w:val="1F4E79"/>
          <w:sz w:val="32"/>
        </w:rPr>
        <w:t>Phase 6 — Project Testing &amp; Validation</w:t>
      </w:r>
    </w:p>
    <w:p>
      <w:pPr>
        <w:jc w:val="center"/>
      </w:pPr>
      <w:r>
        <w:rPr>
          <w:i/>
          <w:color w:val="666666"/>
          <w:sz w:val="21"/>
        </w:rPr>
        <w:t>Test scenarios, acceptance criteria, and known limitations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Project Information</w:t>
            </w:r>
          </w:p>
        </w:tc>
        <w:tc>
          <w:tcPr>
            <w:tcW w:type="dxa" w:w="7056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Date</w:t>
            </w:r>
          </w:p>
        </w:tc>
        <w:tc>
          <w:tcPr>
            <w:tcW w:type="dxa" w:w="7056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28/09/2026</w:t>
            </w:r>
          </w:p>
        </w:tc>
      </w:tr>
      <w:tr>
        <w:tc>
          <w:tcPr>
            <w:tcW w:type="dxa" w:w="2880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Team ID</w:t>
            </w:r>
          </w:p>
        </w:tc>
        <w:tc>
          <w:tcPr>
            <w:tcW w:type="dxa" w:w="7056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SWTID-2026-2057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Team Size</w:t>
            </w:r>
          </w:p>
        </w:tc>
        <w:tc>
          <w:tcPr>
            <w:tcW w:type="dxa" w:w="7056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4</w:t>
            </w:r>
          </w:p>
        </w:tc>
      </w:tr>
      <w:tr>
        <w:tc>
          <w:tcPr>
            <w:tcW w:type="dxa" w:w="2880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Team</w:t>
            </w:r>
          </w:p>
        </w:tc>
        <w:tc>
          <w:tcPr>
            <w:tcW w:type="dxa" w:w="7056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Team Leader: Iniyaashree M | Members: Kaniga P, Kanimozhi S, Kanimozhi G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Project Title</w:t>
            </w:r>
          </w:p>
        </w:tc>
        <w:tc>
          <w:tcPr>
            <w:tcW w:type="dxa" w:w="7056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LegalEaseAI — AI-Powered Legal Document Generator</w:t>
            </w:r>
          </w:p>
        </w:tc>
      </w:tr>
    </w:tbl>
    <w:p>
      <w:pPr>
        <w:spacing w:after="40"/>
      </w:pPr>
    </w:p>
    <w:p>
      <w:pPr>
        <w:pStyle w:val="Heading1"/>
        <w:spacing w:before="200" w:after="100"/>
      </w:pPr>
      <w:r>
        <w:t>1. Testing Scope</w:t>
      </w:r>
    </w:p>
    <w:p>
      <w:pPr>
        <w:spacing w:after="120" w:line="269" w:lineRule="auto"/>
      </w:pPr>
      <w:r>
        <w:t>Testing should cover API availability, request validation, Gemini configuration, frontend-backend communication, generated-text handling, document preview, and TXT/DOCX/PDF export. Because the project depends on an external AI service, tests should distinguish deterministic validation tests from live integration tests.</w:t>
      </w:r>
    </w:p>
    <w:p>
      <w:pPr>
        <w:pStyle w:val="Heading1"/>
        <w:spacing w:before="200" w:after="100"/>
      </w:pPr>
      <w:r>
        <w:t>2. Test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252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252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252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Status to Record</w:t>
            </w:r>
          </w:p>
        </w:tc>
      </w:tr>
      <w:tr>
        <w:tc>
          <w:tcPr>
            <w:tcW w:type="dxa" w:w="252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TC-001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GET /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200 response with running message and success status.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Execute and record</w:t>
            </w:r>
          </w:p>
        </w:tc>
      </w:tr>
      <w:tr>
        <w:tc>
          <w:tcPr>
            <w:tcW w:type="dxa" w:w="2520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TC-002</w:t>
            </w:r>
          </w:p>
        </w:tc>
        <w:tc>
          <w:tcPr>
            <w:tcW w:type="dxa" w:w="2520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GET /health</w:t>
            </w:r>
          </w:p>
        </w:tc>
        <w:tc>
          <w:tcPr>
            <w:tcW w:type="dxa" w:w="2520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200 response with healthy status.</w:t>
            </w:r>
          </w:p>
        </w:tc>
        <w:tc>
          <w:tcPr>
            <w:tcW w:type="dxa" w:w="2520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Execute and record</w:t>
            </w:r>
          </w:p>
        </w:tc>
      </w:tr>
      <w:tr>
        <w:tc>
          <w:tcPr>
            <w:tcW w:type="dxa" w:w="252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TC-003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Valid POST /generate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Response contains a non-empty document field.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Execute and record</w:t>
            </w:r>
          </w:p>
        </w:tc>
      </w:tr>
      <w:tr>
        <w:tc>
          <w:tcPr>
            <w:tcW w:type="dxa" w:w="2520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TC-004</w:t>
            </w:r>
          </w:p>
        </w:tc>
        <w:tc>
          <w:tcPr>
            <w:tcW w:type="dxa" w:w="2520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Missing document type</w:t>
            </w:r>
          </w:p>
        </w:tc>
        <w:tc>
          <w:tcPr>
            <w:tcW w:type="dxa" w:w="2520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Pydantic validation rejects the request.</w:t>
            </w:r>
          </w:p>
        </w:tc>
        <w:tc>
          <w:tcPr>
            <w:tcW w:type="dxa" w:w="2520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Execute and record</w:t>
            </w:r>
          </w:p>
        </w:tc>
      </w:tr>
      <w:tr>
        <w:tc>
          <w:tcPr>
            <w:tcW w:type="dxa" w:w="252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TC-005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Terms longer than 10,000 characters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Request is rejected before generation.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Execute and record</w:t>
            </w:r>
          </w:p>
        </w:tc>
      </w:tr>
      <w:tr>
        <w:tc>
          <w:tcPr>
            <w:tcW w:type="dxa" w:w="2520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TC-006</w:t>
            </w:r>
          </w:p>
        </w:tc>
        <w:tc>
          <w:tcPr>
            <w:tcW w:type="dxa" w:w="2520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Missing Gemini API key</w:t>
            </w:r>
          </w:p>
        </w:tc>
        <w:tc>
          <w:tcPr>
            <w:tcW w:type="dxa" w:w="2520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Backend returns a clear configuration error.</w:t>
            </w:r>
          </w:p>
        </w:tc>
        <w:tc>
          <w:tcPr>
            <w:tcW w:type="dxa" w:w="2520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Execute and record</w:t>
            </w:r>
          </w:p>
        </w:tc>
      </w:tr>
      <w:tr>
        <w:tc>
          <w:tcPr>
            <w:tcW w:type="dxa" w:w="252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TC-007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Temporary Gemini 503/429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Generator retries with exponential wait before failing.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Execute and record</w:t>
            </w:r>
          </w:p>
        </w:tc>
      </w:tr>
      <w:tr>
        <w:tc>
          <w:tcPr>
            <w:tcW w:type="dxa" w:w="2520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TC-008</w:t>
            </w:r>
          </w:p>
        </w:tc>
        <w:tc>
          <w:tcPr>
            <w:tcW w:type="dxa" w:w="2520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Empty Gemini response</w:t>
            </w:r>
          </w:p>
        </w:tc>
        <w:tc>
          <w:tcPr>
            <w:tcW w:type="dxa" w:w="2520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Backend returns an error rather than an empty document.</w:t>
            </w:r>
          </w:p>
        </w:tc>
        <w:tc>
          <w:tcPr>
            <w:tcW w:type="dxa" w:w="2520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Execute and record</w:t>
            </w:r>
          </w:p>
        </w:tc>
      </w:tr>
      <w:tr>
        <w:tc>
          <w:tcPr>
            <w:tcW w:type="dxa" w:w="252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TC-009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Frontend backend unavailable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Streamlit shows connection guidance.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Execute and record</w:t>
            </w:r>
          </w:p>
        </w:tc>
      </w:tr>
      <w:tr>
        <w:tc>
          <w:tcPr>
            <w:tcW w:type="dxa" w:w="2520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TC-010</w:t>
            </w:r>
          </w:p>
        </w:tc>
        <w:tc>
          <w:tcPr>
            <w:tcW w:type="dxa" w:w="2520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Edited preview</w:t>
            </w:r>
          </w:p>
        </w:tc>
        <w:tc>
          <w:tcPr>
            <w:tcW w:type="dxa" w:w="2520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Changes persist in session state and are reflected in downloads.</w:t>
            </w:r>
          </w:p>
        </w:tc>
        <w:tc>
          <w:tcPr>
            <w:tcW w:type="dxa" w:w="2520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Execute and record</w:t>
            </w:r>
          </w:p>
        </w:tc>
      </w:tr>
      <w:tr>
        <w:tc>
          <w:tcPr>
            <w:tcW w:type="dxa" w:w="252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TC-011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DOCX/PDF/TXT export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All three files download and contain the edited text.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Execute and record</w:t>
            </w:r>
          </w:p>
        </w:tc>
      </w:tr>
      <w:tr>
        <w:tc>
          <w:tcPr>
            <w:tcW w:type="dxa" w:w="2520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TC-012</w:t>
            </w:r>
          </w:p>
        </w:tc>
        <w:tc>
          <w:tcPr>
            <w:tcW w:type="dxa" w:w="2520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Unsafe preview characters</w:t>
            </w:r>
          </w:p>
        </w:tc>
        <w:tc>
          <w:tcPr>
            <w:tcW w:type="dxa" w:w="2520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Generated text is escaped in HTML preview.</w:t>
            </w:r>
          </w:p>
        </w:tc>
        <w:tc>
          <w:tcPr>
            <w:tcW w:type="dxa" w:w="2520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Execute and record</w:t>
            </w:r>
          </w:p>
        </w:tc>
      </w:tr>
      <w:tr>
        <w:tc>
          <w:tcPr>
            <w:tcW w:type="dxa" w:w="252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TC-013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Optional logo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Logo is included when supported and output remains valid without it.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Execute and record</w:t>
            </w:r>
          </w:p>
        </w:tc>
      </w:tr>
    </w:tbl>
    <w:p>
      <w:pPr>
        <w:spacing w:after="40"/>
      </w:pPr>
    </w:p>
    <w:p>
      <w:pPr>
        <w:pStyle w:val="Heading1"/>
        <w:spacing w:before="200" w:after="100"/>
      </w:pPr>
      <w:r>
        <w:t>3. Acceptance Criteria</w:t>
      </w:r>
    </w:p>
    <w:p>
      <w:pPr>
        <w:pStyle w:val="ListBullet"/>
        <w:spacing w:after="60"/>
      </w:pPr>
      <w:r>
        <w:t>A valid request produces a readable first draft when Gemini is configured.</w:t>
      </w:r>
    </w:p>
    <w:p>
      <w:pPr>
        <w:pStyle w:val="ListBullet"/>
        <w:spacing w:after="60"/>
      </w:pPr>
      <w:r>
        <w:t>The application gives a clear error when the backend or Gemini configuration is unavailable.</w:t>
      </w:r>
    </w:p>
    <w:p>
      <w:pPr>
        <w:pStyle w:val="ListBullet"/>
        <w:spacing w:after="60"/>
      </w:pPr>
      <w:r>
        <w:t>Input limits prevent invalid or oversized requests.</w:t>
      </w:r>
    </w:p>
    <w:p>
      <w:pPr>
        <w:pStyle w:val="ListBullet"/>
        <w:spacing w:after="60"/>
      </w:pPr>
      <w:r>
        <w:t>The generated text can be edited before export.</w:t>
      </w:r>
    </w:p>
    <w:p>
      <w:pPr>
        <w:pStyle w:val="ListBullet"/>
        <w:spacing w:after="60"/>
      </w:pPr>
      <w:r>
        <w:t>DOCX and PDF contain the title, content, and review disclaimer; TXT contains the document text.</w:t>
      </w:r>
    </w:p>
    <w:p>
      <w:pPr>
        <w:pStyle w:val="ListBullet"/>
        <w:spacing w:after="60"/>
      </w:pPr>
      <w:r>
        <w:t>No API key is displayed in the UI, response body, logs intended for users, or source-controlled files.</w:t>
      </w:r>
    </w:p>
    <w:p>
      <w:pPr>
        <w:pStyle w:val="ListBullet"/>
        <w:spacing w:after="60"/>
      </w:pPr>
      <w:r>
        <w:t>The product consistently describes output as an AI-assisted draft rather than legal advice.</w:t>
      </w:r>
    </w:p>
    <w:p>
      <w:pPr>
        <w:pStyle w:val="Heading1"/>
        <w:spacing w:before="200" w:after="100"/>
      </w:pPr>
      <w:r>
        <w:t>4. Known Limitations</w:t>
      </w:r>
    </w:p>
    <w:p>
      <w:pPr>
        <w:pStyle w:val="ListBullet"/>
        <w:spacing w:after="60"/>
      </w:pPr>
      <w:r>
        <w:t>Live Gemini output quality and factual correctness require human review.</w:t>
      </w:r>
    </w:p>
    <w:p>
      <w:pPr>
        <w:pStyle w:val="ListBullet"/>
        <w:spacing w:after="60"/>
      </w:pPr>
      <w:r>
        <w:t>No automated legal-domain benchmark is included.</w:t>
      </w:r>
    </w:p>
    <w:p>
      <w:pPr>
        <w:pStyle w:val="ListBullet"/>
        <w:spacing w:after="60"/>
      </w:pPr>
      <w:r>
        <w:t>No jurisdiction-specific validation or citation checking is implemented.</w:t>
      </w:r>
    </w:p>
    <w:p>
      <w:pPr>
        <w:pStyle w:val="ListBullet"/>
        <w:spacing w:after="60"/>
      </w:pPr>
      <w:r>
        <w:t>No load, rate-limit, accessibility, or multi-user persistence testing is provided in the source package.</w:t>
      </w:r>
    </w:p>
    <w:p>
      <w:pPr>
        <w:pStyle w:val="ListBullet"/>
        <w:spacing w:after="60"/>
      </w:pPr>
      <w:r>
        <w:t>AI-generated documents should not be signed or relied upon without qualified legal review.</w:t>
      </w:r>
    </w:p>
    <w:p>
      <w:pPr>
        <w:pStyle w:val="Heading1"/>
        <w:spacing w:before="200" w:after="100"/>
      </w:pPr>
      <w:r>
        <w:t>5. Sign-off Guidance</w:t>
      </w:r>
    </w:p>
    <w:p>
      <w:pPr>
        <w:spacing w:after="120" w:line="269" w:lineRule="auto"/>
      </w:pPr>
      <w:r>
        <w:t>The team should record actual test date, environment, dependency versions, command output, and reviewer name before marking acceptance as complete. A test status of “Pass” should only be used after the test is reproducible.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666666"/>
        <w:sz w:val="16"/>
      </w:rPr>
      <w:t>LegalEaseAI | AI-assisted draft generation | Review with a qualified legal professional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06_Project_Testing_and_Validation_Phase</dc:title>
  <dc:subject>LegalEaseAI project phase documentation</dc:subject>
  <dc:creator>LegalEaseAI Project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