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LegalEaseAI</w:t>
      </w:r>
    </w:p>
    <w:p>
      <w:pPr>
        <w:jc w:val="center"/>
      </w:pPr>
      <w:r>
        <w:rPr>
          <w:b/>
          <w:color w:val="1F4E79"/>
          <w:sz w:val="32"/>
        </w:rPr>
        <w:t>Phase 7 — Project Documentation</w:t>
      </w:r>
    </w:p>
    <w:p>
      <w:pPr>
        <w:jc w:val="center"/>
      </w:pPr>
      <w:r>
        <w:rPr>
          <w:i/>
          <w:color w:val="666666"/>
          <w:sz w:val="21"/>
        </w:rPr>
        <w:t>User guide, technical reference, and support information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Project Information</w:t>
            </w:r>
          </w:p>
        </w:tc>
        <w:tc>
          <w:tcPr>
            <w:tcW w:type="dxa" w:w="705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Date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28/09/2026</w:t>
            </w:r>
          </w:p>
        </w:tc>
      </w:tr>
      <w:tr>
        <w:tc>
          <w:tcPr>
            <w:tcW w:type="dxa" w:w="288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Team ID</w:t>
            </w:r>
          </w:p>
        </w:tc>
        <w:tc>
          <w:tcPr>
            <w:tcW w:type="dxa" w:w="705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SWTID-2026-2057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Team Size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</w:tr>
      <w:tr>
        <w:tc>
          <w:tcPr>
            <w:tcW w:type="dxa" w:w="288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Team</w:t>
            </w:r>
          </w:p>
        </w:tc>
        <w:tc>
          <w:tcPr>
            <w:tcW w:type="dxa" w:w="705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Team Leader: Iniyaashree M | Members: Kaniga P, Kanimozhi S, Kanimozhi G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Project Title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LegalEaseAI — AI-Powered Legal Document Generator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t>1. Project Description</w:t>
      </w:r>
    </w:p>
    <w:p>
      <w:pPr>
        <w:spacing w:after="120" w:line="269" w:lineRule="auto"/>
      </w:pPr>
      <w:r>
        <w:t>LegalEaseAI is an AI-assisted legal document drafting application. It accepts a document type, parties, terms and conditions, and effective date, then uses Gemini to produce a structured first draft. Users can review and edit the result and download it as TXT, DOCX, or PDF.</w:t>
      </w:r>
    </w:p>
    <w:p>
      <w:pPr>
        <w:pStyle w:val="Heading1"/>
        <w:spacing w:before="200" w:after="100"/>
      </w:pPr>
      <w:r>
        <w:t>2. Setup Guide</w:t>
      </w:r>
    </w:p>
    <w:p>
      <w:pPr>
        <w:pStyle w:val="ListNumber"/>
        <w:spacing w:after="60"/>
      </w:pPr>
      <w:r>
        <w:t>Create and activate a Python virtual environment.</w:t>
      </w:r>
    </w:p>
    <w:p>
      <w:pPr>
        <w:pStyle w:val="ListNumber"/>
        <w:spacing w:after="60"/>
      </w:pPr>
      <w:r>
        <w:t>Install the packages listed in requirements.txt.</w:t>
      </w:r>
    </w:p>
    <w:p>
      <w:pPr>
        <w:pStyle w:val="ListNumber"/>
        <w:spacing w:after="60"/>
      </w:pPr>
      <w:r>
        <w:t>Create a .env file from the project configuration guidance and add GEMINI_API_KEY.</w:t>
      </w:r>
    </w:p>
    <w:p>
      <w:pPr>
        <w:pStyle w:val="ListNumber"/>
        <w:spacing w:after="60"/>
      </w:pPr>
      <w:r>
        <w:t>Set GEMINI_MODEL if a different Gemini model is required.</w:t>
      </w:r>
    </w:p>
    <w:p>
      <w:pPr>
        <w:pStyle w:val="ListNumber"/>
        <w:spacing w:after="60"/>
      </w:pPr>
      <w:r>
        <w:t>Start the FastAPI backend with Uvicorn.</w:t>
      </w:r>
    </w:p>
    <w:p>
      <w:pPr>
        <w:pStyle w:val="ListNumber"/>
        <w:spacing w:after="60"/>
      </w:pPr>
      <w:r>
        <w:t>Set BACKEND_URL for the Streamlit frontend if the backend is not using the default local address.</w:t>
      </w:r>
    </w:p>
    <w:p>
      <w:pPr>
        <w:pStyle w:val="ListNumber"/>
        <w:spacing w:after="60"/>
      </w:pPr>
      <w:r>
        <w:t>Start the Streamlit application and open the displayed browser URL.</w:t>
      </w:r>
    </w:p>
    <w:p>
      <w:pPr>
        <w:pStyle w:val="Heading1"/>
        <w:spacing w:before="200" w:after="100"/>
      </w:pPr>
      <w:r>
        <w:t>3. User Guide</w:t>
      </w:r>
    </w:p>
    <w:p>
      <w:pPr>
        <w:pStyle w:val="ListNumber"/>
        <w:spacing w:after="60"/>
      </w:pPr>
      <w:r>
        <w:t>Choose a preset document type or select Other and enter a custom type.</w:t>
      </w:r>
    </w:p>
    <w:p>
      <w:pPr>
        <w:pStyle w:val="ListNumber"/>
        <w:spacing w:after="60"/>
      </w:pPr>
      <w:r>
        <w:t>Enter the effective date, parties involved, and terms and conditions.</w:t>
      </w:r>
    </w:p>
    <w:p>
      <w:pPr>
        <w:pStyle w:val="ListNumber"/>
        <w:spacing w:after="60"/>
      </w:pPr>
      <w:r>
        <w:t>Optionally upload a PNG, JPG, or JPEG logo.</w:t>
      </w:r>
    </w:p>
    <w:p>
      <w:pPr>
        <w:pStyle w:val="ListNumber"/>
        <w:spacing w:after="60"/>
      </w:pPr>
      <w:r>
        <w:t>Click Generate Document.</w:t>
      </w:r>
    </w:p>
    <w:p>
      <w:pPr>
        <w:pStyle w:val="ListNumber"/>
        <w:spacing w:after="60"/>
      </w:pPr>
      <w:r>
        <w:t>Review and edit the generated draft in the document editor.</w:t>
      </w:r>
    </w:p>
    <w:p>
      <w:pPr>
        <w:pStyle w:val="ListNumber"/>
        <w:spacing w:after="60"/>
      </w:pPr>
      <w:r>
        <w:t>Download the final working draft as TXT, DOCX, or PDF.</w:t>
      </w:r>
    </w:p>
    <w:p>
      <w:pPr>
        <w:pStyle w:val="ListNumber"/>
        <w:spacing w:after="60"/>
      </w:pPr>
      <w:r>
        <w:t>Have the document reviewed by a qualified legal professional before signing or using it.</w:t>
      </w:r>
    </w:p>
    <w:p>
      <w:pPr>
        <w:pStyle w:val="Heading1"/>
        <w:spacing w:before="200" w:after="100"/>
      </w:pPr>
      <w:r>
        <w:t>4. API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Request Fields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POST /generate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document_type, parties, terms, effective_date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Generate an AI-assisted legal document draft.</w:t>
            </w:r>
          </w:p>
        </w:tc>
      </w:tr>
      <w:tr>
        <w:tc>
          <w:tcPr>
            <w:tcW w:type="dxa" w:w="336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GET /health</w:t>
            </w:r>
          </w:p>
        </w:tc>
        <w:tc>
          <w:tcPr>
            <w:tcW w:type="dxa" w:w="336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None</w:t>
            </w:r>
          </w:p>
        </w:tc>
        <w:tc>
          <w:tcPr>
            <w:tcW w:type="dxa" w:w="336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Check backend health.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GET /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None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Check that the API is running.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t>5. Configuration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Handling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GEMINI_API_KEY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Authenticates Google Gemini requests.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Keep secret; never commit.</w:t>
            </w:r>
          </w:p>
        </w:tc>
      </w:tr>
      <w:tr>
        <w:tc>
          <w:tcPr>
            <w:tcW w:type="dxa" w:w="336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GEMINI_MODEL</w:t>
            </w:r>
          </w:p>
        </w:tc>
        <w:tc>
          <w:tcPr>
            <w:tcW w:type="dxa" w:w="336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Selects the Gemini model.</w:t>
            </w:r>
          </w:p>
        </w:tc>
        <w:tc>
          <w:tcPr>
            <w:tcW w:type="dxa" w:w="336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Optional; generator has a default.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BACKEND_URL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Streamlit target for FastAPI.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Defaults to local backend address.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t>6. Legal Notice</w:t>
      </w:r>
    </w:p>
    <w:p>
      <w:pPr>
        <w:spacing w:after="120" w:line="269" w:lineRule="auto"/>
      </w:pPr>
      <w:r>
        <w:t>LegalEaseAI creates AI-assisted drafts for information and editing. It is not a substitute for legal advice, does not guarantee legal validity, and does not replace jurisdiction-specific review by a qualified legal professional.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666666"/>
        <w:sz w:val="16"/>
      </w:rPr>
      <w:t>LegalEaseAI | AI-assisted draft generation | Review with a qualified legal professional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07_Project_Documentation_Phase</dc:title>
  <dc:subject>LegalEaseAI project phase documentation</dc:subject>
  <dc:creator>LegalEaseAI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