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LegalEaseAI</w:t>
      </w:r>
    </w:p>
    <w:p>
      <w:pPr>
        <w:jc w:val="center"/>
      </w:pPr>
      <w:r>
        <w:rPr>
          <w:b/>
          <w:color w:val="1F4E79"/>
          <w:sz w:val="32"/>
        </w:rPr>
        <w:t>Phase 8 — Deployment &amp; Future Enhancement</w:t>
      </w:r>
    </w:p>
    <w:p>
      <w:pPr>
        <w:jc w:val="center"/>
      </w:pPr>
      <w:r>
        <w:rPr>
          <w:i/>
          <w:color w:val="666666"/>
          <w:sz w:val="21"/>
        </w:rPr>
        <w:t>Release readiness, operations, maintenance, and roadmap</w:t>
      </w:r>
    </w:p>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F4E79"/>
          </w:tcPr>
          <w:p>
            <w:pPr>
              <w:spacing w:after="40"/>
            </w:pPr>
            <w:r/>
            <w:r>
              <w:rPr>
                <w:rFonts w:ascii="Calibri" w:hAnsi="Calibri"/>
                <w:b/>
                <w:color w:val="FFFFFF"/>
                <w:sz w:val="20"/>
              </w:rPr>
              <w:t>Project Information</w:t>
            </w:r>
          </w:p>
        </w:tc>
        <w:tc>
          <w:tcPr>
            <w:tcW w:type="dxa" w:w="7056"/>
            <w:vAlign w:val="center"/>
            <w:shd w:fill="1F4E79"/>
          </w:tcPr>
          <w:p>
            <w:pPr>
              <w:spacing w:after="40"/>
            </w:pPr>
            <w:r/>
            <w:r>
              <w:rPr>
                <w:rFonts w:ascii="Calibri" w:hAnsi="Calibri"/>
                <w:b/>
                <w:color w:val="FFFFFF"/>
                <w:sz w:val="20"/>
              </w:rPr>
              <w:t>Details</w:t>
            </w:r>
          </w:p>
        </w:tc>
      </w:tr>
      <w:tr>
        <w:tc>
          <w:tcPr>
            <w:tcW w:type="dxa" w:w="2880"/>
            <w:vAlign w:val="center"/>
            <w:shd w:fill="FFFFFF"/>
          </w:tcPr>
          <w:p>
            <w:pPr>
              <w:spacing w:after="40"/>
            </w:pPr>
            <w:r/>
            <w:r>
              <w:rPr>
                <w:rFonts w:ascii="Calibri" w:hAnsi="Calibri"/>
                <w:b w:val="0"/>
                <w:sz w:val="20"/>
              </w:rPr>
              <w:t>Date</w:t>
            </w:r>
          </w:p>
        </w:tc>
        <w:tc>
          <w:tcPr>
            <w:tcW w:type="dxa" w:w="7056"/>
            <w:vAlign w:val="center"/>
            <w:shd w:fill="FFFFFF"/>
          </w:tcPr>
          <w:p>
            <w:pPr>
              <w:spacing w:after="40"/>
            </w:pPr>
            <w:r/>
            <w:r>
              <w:rPr>
                <w:rFonts w:ascii="Calibri" w:hAnsi="Calibri"/>
                <w:b w:val="0"/>
                <w:sz w:val="20"/>
              </w:rPr>
              <w:t>28/09/2026</w:t>
            </w:r>
          </w:p>
        </w:tc>
      </w:tr>
      <w:tr>
        <w:tc>
          <w:tcPr>
            <w:tcW w:type="dxa" w:w="2880"/>
            <w:vAlign w:val="center"/>
            <w:shd w:fill="F3F6F9"/>
          </w:tcPr>
          <w:p>
            <w:pPr>
              <w:spacing w:after="40"/>
            </w:pPr>
            <w:r/>
            <w:r>
              <w:rPr>
                <w:rFonts w:ascii="Calibri" w:hAnsi="Calibri"/>
                <w:b w:val="0"/>
                <w:sz w:val="20"/>
              </w:rPr>
              <w:t>Team ID</w:t>
            </w:r>
          </w:p>
        </w:tc>
        <w:tc>
          <w:tcPr>
            <w:tcW w:type="dxa" w:w="7056"/>
            <w:vAlign w:val="center"/>
            <w:shd w:fill="F3F6F9"/>
          </w:tcPr>
          <w:p>
            <w:pPr>
              <w:spacing w:after="40"/>
            </w:pPr>
            <w:r/>
            <w:r>
              <w:rPr>
                <w:rFonts w:ascii="Calibri" w:hAnsi="Calibri"/>
                <w:b w:val="0"/>
                <w:sz w:val="20"/>
              </w:rPr>
              <w:t>SWTID-2026-2057</w:t>
            </w:r>
          </w:p>
        </w:tc>
      </w:tr>
      <w:tr>
        <w:tc>
          <w:tcPr>
            <w:tcW w:type="dxa" w:w="2880"/>
            <w:vAlign w:val="center"/>
            <w:shd w:fill="FFFFFF"/>
          </w:tcPr>
          <w:p>
            <w:pPr>
              <w:spacing w:after="40"/>
            </w:pPr>
            <w:r/>
            <w:r>
              <w:rPr>
                <w:rFonts w:ascii="Calibri" w:hAnsi="Calibri"/>
                <w:b w:val="0"/>
                <w:sz w:val="20"/>
              </w:rPr>
              <w:t>Team Size</w:t>
            </w:r>
          </w:p>
        </w:tc>
        <w:tc>
          <w:tcPr>
            <w:tcW w:type="dxa" w:w="7056"/>
            <w:vAlign w:val="center"/>
            <w:shd w:fill="FFFFFF"/>
          </w:tcPr>
          <w:p>
            <w:pPr>
              <w:spacing w:after="40"/>
            </w:pPr>
            <w:r/>
            <w:r>
              <w:rPr>
                <w:rFonts w:ascii="Calibri" w:hAnsi="Calibri"/>
                <w:b w:val="0"/>
                <w:sz w:val="20"/>
              </w:rPr>
              <w:t>4</w:t>
            </w:r>
          </w:p>
        </w:tc>
      </w:tr>
      <w:tr>
        <w:tc>
          <w:tcPr>
            <w:tcW w:type="dxa" w:w="2880"/>
            <w:vAlign w:val="center"/>
            <w:shd w:fill="F3F6F9"/>
          </w:tcPr>
          <w:p>
            <w:pPr>
              <w:spacing w:after="40"/>
            </w:pPr>
            <w:r/>
            <w:r>
              <w:rPr>
                <w:rFonts w:ascii="Calibri" w:hAnsi="Calibri"/>
                <w:b w:val="0"/>
                <w:sz w:val="20"/>
              </w:rPr>
              <w:t>Team</w:t>
            </w:r>
          </w:p>
        </w:tc>
        <w:tc>
          <w:tcPr>
            <w:tcW w:type="dxa" w:w="7056"/>
            <w:vAlign w:val="center"/>
            <w:shd w:fill="F3F6F9"/>
          </w:tcPr>
          <w:p>
            <w:pPr>
              <w:spacing w:after="40"/>
            </w:pPr>
            <w:r/>
            <w:r>
              <w:rPr>
                <w:rFonts w:ascii="Calibri" w:hAnsi="Calibri"/>
                <w:b w:val="0"/>
                <w:sz w:val="20"/>
              </w:rPr>
              <w:t>Team Leader: Iniyaashree M | Members: Kaniga P, Kanimozhi S, Kanimozhi G</w:t>
            </w:r>
          </w:p>
        </w:tc>
      </w:tr>
      <w:tr>
        <w:tc>
          <w:tcPr>
            <w:tcW w:type="dxa" w:w="2880"/>
            <w:vAlign w:val="center"/>
            <w:shd w:fill="FFFFFF"/>
          </w:tcPr>
          <w:p>
            <w:pPr>
              <w:spacing w:after="40"/>
            </w:pPr>
            <w:r/>
            <w:r>
              <w:rPr>
                <w:rFonts w:ascii="Calibri" w:hAnsi="Calibri"/>
                <w:b w:val="0"/>
                <w:sz w:val="20"/>
              </w:rPr>
              <w:t>Project Title</w:t>
            </w:r>
          </w:p>
        </w:tc>
        <w:tc>
          <w:tcPr>
            <w:tcW w:type="dxa" w:w="7056"/>
            <w:vAlign w:val="center"/>
            <w:shd w:fill="FFFFFF"/>
          </w:tcPr>
          <w:p>
            <w:pPr>
              <w:spacing w:after="40"/>
            </w:pPr>
            <w:r/>
            <w:r>
              <w:rPr>
                <w:rFonts w:ascii="Calibri" w:hAnsi="Calibri"/>
                <w:b w:val="0"/>
                <w:sz w:val="20"/>
              </w:rPr>
              <w:t>LegalEaseAI — AI-Powered Legal Document Generator</w:t>
            </w:r>
          </w:p>
        </w:tc>
      </w:tr>
    </w:tbl>
    <w:p>
      <w:pPr>
        <w:spacing w:after="40"/>
      </w:pPr>
    </w:p>
    <w:p>
      <w:pPr>
        <w:pStyle w:val="Heading1"/>
        <w:spacing w:before="200" w:after="100"/>
      </w:pPr>
      <w:r>
        <w:t>1. Deployment Readiness</w:t>
      </w:r>
    </w:p>
    <w:p>
      <w:pPr>
        <w:spacing w:after="120" w:line="269" w:lineRule="auto"/>
      </w:pPr>
      <w:r>
        <w:t>LegalEaseAI can be deployed as a small service pair: FastAPI for the generation backend and Streamlit for the user interface. Before deployment, the team should configure secrets securely, restrict CORS to trusted origins, verify resource limits, and perform both offline validation tests and controlled live Gemini tests.</w:t>
      </w:r>
    </w:p>
    <w:p>
      <w:pPr>
        <w:pStyle w:val="Heading1"/>
        <w:spacing w:before="200" w:after="100"/>
      </w:pPr>
      <w:r>
        <w:t>2. Release Checklist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40"/>
            </w:pPr>
            <w:r/>
            <w:r>
              <w:rPr>
                <w:rFonts w:ascii="Calibri" w:hAnsi="Calibri"/>
                <w:b/>
                <w:color w:val="FFFFFF"/>
                <w:sz w:val="20"/>
              </w:rPr>
              <w:t>Area</w:t>
            </w:r>
          </w:p>
        </w:tc>
        <w:tc>
          <w:tcPr>
            <w:tcW w:type="dxa" w:w="5040"/>
            <w:vAlign w:val="center"/>
            <w:shd w:fill="1F4E79"/>
          </w:tcPr>
          <w:p>
            <w:pPr>
              <w:spacing w:after="40"/>
            </w:pPr>
            <w:r/>
            <w:r>
              <w:rPr>
                <w:rFonts w:ascii="Calibri" w:hAnsi="Calibri"/>
                <w:b/>
                <w:color w:val="FFFFFF"/>
                <w:sz w:val="20"/>
              </w:rPr>
              <w:t>Checklist</w:t>
            </w:r>
          </w:p>
        </w:tc>
      </w:tr>
      <w:tr>
        <w:tc>
          <w:tcPr>
            <w:tcW w:type="dxa" w:w="5040"/>
            <w:vAlign w:val="center"/>
            <w:shd w:fill="FFFFFF"/>
          </w:tcPr>
          <w:p>
            <w:pPr>
              <w:spacing w:after="40"/>
            </w:pPr>
            <w:r/>
            <w:r>
              <w:rPr>
                <w:rFonts w:ascii="Calibri" w:hAnsi="Calibri"/>
                <w:b w:val="0"/>
                <w:sz w:val="20"/>
              </w:rPr>
              <w:t>Environment</w:t>
            </w:r>
          </w:p>
        </w:tc>
        <w:tc>
          <w:tcPr>
            <w:tcW w:type="dxa" w:w="5040"/>
            <w:vAlign w:val="center"/>
            <w:shd w:fill="FFFFFF"/>
          </w:tcPr>
          <w:p>
            <w:pPr>
              <w:spacing w:after="40"/>
            </w:pPr>
            <w:r/>
            <w:r>
              <w:rPr>
                <w:rFonts w:ascii="Calibri" w:hAnsi="Calibri"/>
                <w:b w:val="0"/>
                <w:sz w:val="20"/>
              </w:rPr>
              <w:t>Use a clean virtual environment and install the declared dependency versions.</w:t>
            </w:r>
          </w:p>
        </w:tc>
      </w:tr>
      <w:tr>
        <w:tc>
          <w:tcPr>
            <w:tcW w:type="dxa" w:w="5040"/>
            <w:vAlign w:val="center"/>
            <w:shd w:fill="F3F6F9"/>
          </w:tcPr>
          <w:p>
            <w:pPr>
              <w:spacing w:after="40"/>
            </w:pPr>
            <w:r/>
            <w:r>
              <w:rPr>
                <w:rFonts w:ascii="Calibri" w:hAnsi="Calibri"/>
                <w:b w:val="0"/>
                <w:sz w:val="20"/>
              </w:rPr>
              <w:t>Secrets</w:t>
            </w:r>
          </w:p>
        </w:tc>
        <w:tc>
          <w:tcPr>
            <w:tcW w:type="dxa" w:w="5040"/>
            <w:vAlign w:val="center"/>
            <w:shd w:fill="F3F6F9"/>
          </w:tcPr>
          <w:p>
            <w:pPr>
              <w:spacing w:after="40"/>
            </w:pPr>
            <w:r/>
            <w:r>
              <w:rPr>
                <w:rFonts w:ascii="Calibri" w:hAnsi="Calibri"/>
                <w:b w:val="0"/>
                <w:sz w:val="20"/>
              </w:rPr>
              <w:t>Set GEMINI_API_KEY securely; confirm .env and secret files are not committed.</w:t>
            </w:r>
          </w:p>
        </w:tc>
      </w:tr>
      <w:tr>
        <w:tc>
          <w:tcPr>
            <w:tcW w:type="dxa" w:w="5040"/>
            <w:vAlign w:val="center"/>
            <w:shd w:fill="FFFFFF"/>
          </w:tcPr>
          <w:p>
            <w:pPr>
              <w:spacing w:after="40"/>
            </w:pPr>
            <w:r/>
            <w:r>
              <w:rPr>
                <w:rFonts w:ascii="Calibri" w:hAnsi="Calibri"/>
                <w:b w:val="0"/>
                <w:sz w:val="20"/>
              </w:rPr>
              <w:t>Backend</w:t>
            </w:r>
          </w:p>
        </w:tc>
        <w:tc>
          <w:tcPr>
            <w:tcW w:type="dxa" w:w="5040"/>
            <w:vAlign w:val="center"/>
            <w:shd w:fill="FFFFFF"/>
          </w:tcPr>
          <w:p>
            <w:pPr>
              <w:spacing w:after="40"/>
            </w:pPr>
            <w:r/>
            <w:r>
              <w:rPr>
                <w:rFonts w:ascii="Calibri" w:hAnsi="Calibri"/>
                <w:b w:val="0"/>
                <w:sz w:val="20"/>
              </w:rPr>
              <w:t>Verify /, /health, /generate, validation, and error responses.</w:t>
            </w:r>
          </w:p>
        </w:tc>
      </w:tr>
      <w:tr>
        <w:tc>
          <w:tcPr>
            <w:tcW w:type="dxa" w:w="5040"/>
            <w:vAlign w:val="center"/>
            <w:shd w:fill="F3F6F9"/>
          </w:tcPr>
          <w:p>
            <w:pPr>
              <w:spacing w:after="40"/>
            </w:pPr>
            <w:r/>
            <w:r>
              <w:rPr>
                <w:rFonts w:ascii="Calibri" w:hAnsi="Calibri"/>
                <w:b w:val="0"/>
                <w:sz w:val="20"/>
              </w:rPr>
              <w:t>Frontend</w:t>
            </w:r>
          </w:p>
        </w:tc>
        <w:tc>
          <w:tcPr>
            <w:tcW w:type="dxa" w:w="5040"/>
            <w:vAlign w:val="center"/>
            <w:shd w:fill="F3F6F9"/>
          </w:tcPr>
          <w:p>
            <w:pPr>
              <w:spacing w:after="40"/>
            </w:pPr>
            <w:r/>
            <w:r>
              <w:rPr>
                <w:rFonts w:ascii="Calibri" w:hAnsi="Calibri"/>
                <w:b w:val="0"/>
                <w:sz w:val="20"/>
              </w:rPr>
              <w:t>Verify form submission, preview editing, error messages, and all download buttons.</w:t>
            </w:r>
          </w:p>
        </w:tc>
      </w:tr>
      <w:tr>
        <w:tc>
          <w:tcPr>
            <w:tcW w:type="dxa" w:w="5040"/>
            <w:vAlign w:val="center"/>
            <w:shd w:fill="FFFFFF"/>
          </w:tcPr>
          <w:p>
            <w:pPr>
              <w:spacing w:after="40"/>
            </w:pPr>
            <w:r/>
            <w:r>
              <w:rPr>
                <w:rFonts w:ascii="Calibri" w:hAnsi="Calibri"/>
                <w:b w:val="0"/>
                <w:sz w:val="20"/>
              </w:rPr>
              <w:t>Exports</w:t>
            </w:r>
          </w:p>
        </w:tc>
        <w:tc>
          <w:tcPr>
            <w:tcW w:type="dxa" w:w="5040"/>
            <w:vAlign w:val="center"/>
            <w:shd w:fill="FFFFFF"/>
          </w:tcPr>
          <w:p>
            <w:pPr>
              <w:spacing w:after="40"/>
            </w:pPr>
            <w:r/>
            <w:r>
              <w:rPr>
                <w:rFonts w:ascii="Calibri" w:hAnsi="Calibri"/>
                <w:b w:val="0"/>
                <w:sz w:val="20"/>
              </w:rPr>
              <w:t>Open generated DOCX and PDF files in target viewers and inspect content and formatting.</w:t>
            </w:r>
          </w:p>
        </w:tc>
      </w:tr>
      <w:tr>
        <w:tc>
          <w:tcPr>
            <w:tcW w:type="dxa" w:w="5040"/>
            <w:vAlign w:val="center"/>
            <w:shd w:fill="F3F6F9"/>
          </w:tcPr>
          <w:p>
            <w:pPr>
              <w:spacing w:after="40"/>
            </w:pPr>
            <w:r/>
            <w:r>
              <w:rPr>
                <w:rFonts w:ascii="Calibri" w:hAnsi="Calibri"/>
                <w:b w:val="0"/>
                <w:sz w:val="20"/>
              </w:rPr>
              <w:t>Security</w:t>
            </w:r>
          </w:p>
        </w:tc>
        <w:tc>
          <w:tcPr>
            <w:tcW w:type="dxa" w:w="5040"/>
            <w:vAlign w:val="center"/>
            <w:shd w:fill="F3F6F9"/>
          </w:tcPr>
          <w:p>
            <w:pPr>
              <w:spacing w:after="40"/>
            </w:pPr>
            <w:r/>
            <w:r>
              <w:rPr>
                <w:rFonts w:ascii="Calibri" w:hAnsi="Calibri"/>
                <w:b w:val="0"/>
                <w:sz w:val="20"/>
              </w:rPr>
              <w:t>Replace allow_origins=["*"] with trusted origins for production and review logging.</w:t>
            </w:r>
          </w:p>
        </w:tc>
      </w:tr>
      <w:tr>
        <w:tc>
          <w:tcPr>
            <w:tcW w:type="dxa" w:w="5040"/>
            <w:vAlign w:val="center"/>
            <w:shd w:fill="FFFFFF"/>
          </w:tcPr>
          <w:p>
            <w:pPr>
              <w:spacing w:after="40"/>
            </w:pPr>
            <w:r/>
            <w:r>
              <w:rPr>
                <w:rFonts w:ascii="Calibri" w:hAnsi="Calibri"/>
                <w:b w:val="0"/>
                <w:sz w:val="20"/>
              </w:rPr>
              <w:t>Legal</w:t>
            </w:r>
          </w:p>
        </w:tc>
        <w:tc>
          <w:tcPr>
            <w:tcW w:type="dxa" w:w="5040"/>
            <w:vAlign w:val="center"/>
            <w:shd w:fill="FFFFFF"/>
          </w:tcPr>
          <w:p>
            <w:pPr>
              <w:spacing w:after="40"/>
            </w:pPr>
            <w:r/>
            <w:r>
              <w:rPr>
                <w:rFonts w:ascii="Calibri" w:hAnsi="Calibri"/>
                <w:b w:val="0"/>
                <w:sz w:val="20"/>
              </w:rPr>
              <w:t>Display the AI-draft disclaimer and require professional review messaging.</w:t>
            </w:r>
          </w:p>
        </w:tc>
      </w:tr>
      <w:tr>
        <w:tc>
          <w:tcPr>
            <w:tcW w:type="dxa" w:w="5040"/>
            <w:vAlign w:val="center"/>
            <w:shd w:fill="F3F6F9"/>
          </w:tcPr>
          <w:p>
            <w:pPr>
              <w:spacing w:after="40"/>
            </w:pPr>
            <w:r/>
            <w:r>
              <w:rPr>
                <w:rFonts w:ascii="Calibri" w:hAnsi="Calibri"/>
                <w:b w:val="0"/>
                <w:sz w:val="20"/>
              </w:rPr>
              <w:t>Operations</w:t>
            </w:r>
          </w:p>
        </w:tc>
        <w:tc>
          <w:tcPr>
            <w:tcW w:type="dxa" w:w="5040"/>
            <w:vAlign w:val="center"/>
            <w:shd w:fill="F3F6F9"/>
          </w:tcPr>
          <w:p>
            <w:pPr>
              <w:spacing w:after="40"/>
            </w:pPr>
            <w:r/>
            <w:r>
              <w:rPr>
                <w:rFonts w:ascii="Calibri" w:hAnsi="Calibri"/>
                <w:b w:val="0"/>
                <w:sz w:val="20"/>
              </w:rPr>
              <w:t>Define monitoring, rate limits, quotas, backup expectations, and incident handling.</w:t>
            </w:r>
          </w:p>
        </w:tc>
      </w:tr>
    </w:tbl>
    <w:p>
      <w:pPr>
        <w:spacing w:after="40"/>
      </w:pPr>
    </w:p>
    <w:p>
      <w:pPr>
        <w:pStyle w:val="Heading1"/>
        <w:spacing w:before="200" w:after="100"/>
      </w:pPr>
      <w:r>
        <w:t>3. Maintenance Plan</w:t>
      </w:r>
    </w:p>
    <w:p>
      <w:pPr>
        <w:pStyle w:val="ListBullet"/>
        <w:spacing w:after="60"/>
      </w:pPr>
      <w:r>
        <w:t>Review Gemini SDK and model compatibility when dependencies are upgraded.</w:t>
      </w:r>
    </w:p>
    <w:p>
      <w:pPr>
        <w:pStyle w:val="ListBullet"/>
        <w:spacing w:after="60"/>
      </w:pPr>
      <w:r>
        <w:t>Monitor timeout, quota, 429, 503, and resource-exhausted errors.</w:t>
      </w:r>
    </w:p>
    <w:p>
      <w:pPr>
        <w:pStyle w:val="ListBullet"/>
        <w:spacing w:after="60"/>
      </w:pPr>
      <w:r>
        <w:t>Maintain prompt templates and evaluate whether new model behavior changes document quality.</w:t>
      </w:r>
    </w:p>
    <w:p>
      <w:pPr>
        <w:pStyle w:val="ListBullet"/>
        <w:spacing w:after="60"/>
      </w:pPr>
      <w:r>
        <w:t>Regularly inspect generated DOCX/PDF output after formatter changes.</w:t>
      </w:r>
    </w:p>
    <w:p>
      <w:pPr>
        <w:pStyle w:val="ListBullet"/>
        <w:spacing w:after="60"/>
      </w:pPr>
      <w:r>
        <w:t>Keep security and legal disclaimer wording visible and current.</w:t>
      </w:r>
    </w:p>
    <w:p>
      <w:pPr>
        <w:pStyle w:val="ListBullet"/>
        <w:spacing w:after="60"/>
      </w:pPr>
      <w:r>
        <w:t>Add regression tests for every new document type or formatting feature.</w:t>
      </w:r>
    </w:p>
    <w:p>
      <w:pPr>
        <w:pStyle w:val="Heading1"/>
        <w:spacing w:before="200" w:after="100"/>
      </w:pPr>
      <w:r>
        <w:t>4. Future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40"/>
            </w:pPr>
            <w:r/>
            <w:r>
              <w:rPr>
                <w:rFonts w:ascii="Calibri" w:hAnsi="Calibri"/>
                <w:b/>
                <w:color w:val="FFFFFF"/>
                <w:sz w:val="20"/>
              </w:rPr>
              <w:t>Stage</w:t>
            </w:r>
          </w:p>
        </w:tc>
        <w:tc>
          <w:tcPr>
            <w:tcW w:type="dxa" w:w="3360"/>
            <w:vAlign w:val="center"/>
            <w:shd w:fill="1F4E79"/>
          </w:tcPr>
          <w:p>
            <w:pPr>
              <w:spacing w:after="40"/>
            </w:pPr>
            <w:r/>
            <w:r>
              <w:rPr>
                <w:rFonts w:ascii="Calibri" w:hAnsi="Calibri"/>
                <w:b/>
                <w:color w:val="FFFFFF"/>
                <w:sz w:val="20"/>
              </w:rPr>
              <w:t>Enhancement</w:t>
            </w:r>
          </w:p>
        </w:tc>
        <w:tc>
          <w:tcPr>
            <w:tcW w:type="dxa" w:w="3360"/>
            <w:vAlign w:val="center"/>
            <w:shd w:fill="1F4E79"/>
          </w:tcPr>
          <w:p>
            <w:pPr>
              <w:spacing w:after="40"/>
            </w:pPr>
            <w:r/>
            <w:r>
              <w:rPr>
                <w:rFonts w:ascii="Calibri" w:hAnsi="Calibri"/>
                <w:b/>
                <w:color w:val="FFFFFF"/>
                <w:sz w:val="20"/>
              </w:rPr>
              <w:t>Expected Benefit</w:t>
            </w:r>
          </w:p>
        </w:tc>
      </w:tr>
      <w:tr>
        <w:tc>
          <w:tcPr>
            <w:tcW w:type="dxa" w:w="3360"/>
            <w:vAlign w:val="center"/>
            <w:shd w:fill="FFFFFF"/>
          </w:tcPr>
          <w:p>
            <w:pPr>
              <w:spacing w:after="40"/>
            </w:pPr>
            <w:r/>
            <w:r>
              <w:rPr>
                <w:rFonts w:ascii="Calibri" w:hAnsi="Calibri"/>
                <w:b w:val="0"/>
                <w:sz w:val="20"/>
              </w:rPr>
              <w:t>Next</w:t>
            </w:r>
          </w:p>
        </w:tc>
        <w:tc>
          <w:tcPr>
            <w:tcW w:type="dxa" w:w="3360"/>
            <w:vAlign w:val="center"/>
            <w:shd w:fill="FFFFFF"/>
          </w:tcPr>
          <w:p>
            <w:pPr>
              <w:spacing w:after="40"/>
            </w:pPr>
            <w:r/>
            <w:r>
              <w:rPr>
                <w:rFonts w:ascii="Calibri" w:hAnsi="Calibri"/>
                <w:b w:val="0"/>
                <w:sz w:val="20"/>
              </w:rPr>
              <w:t>Reusable templates and clause library</w:t>
            </w:r>
          </w:p>
        </w:tc>
        <w:tc>
          <w:tcPr>
            <w:tcW w:type="dxa" w:w="3360"/>
            <w:vAlign w:val="center"/>
            <w:shd w:fill="FFFFFF"/>
          </w:tcPr>
          <w:p>
            <w:pPr>
              <w:spacing w:after="40"/>
            </w:pPr>
            <w:r/>
            <w:r>
              <w:rPr>
                <w:rFonts w:ascii="Calibri" w:hAnsi="Calibri"/>
                <w:b w:val="0"/>
                <w:sz w:val="20"/>
              </w:rPr>
              <w:t>More consistent drafts for common agreements.</w:t>
            </w:r>
          </w:p>
        </w:tc>
      </w:tr>
      <w:tr>
        <w:tc>
          <w:tcPr>
            <w:tcW w:type="dxa" w:w="3360"/>
            <w:vAlign w:val="center"/>
            <w:shd w:fill="F3F6F9"/>
          </w:tcPr>
          <w:p>
            <w:pPr>
              <w:spacing w:after="40"/>
            </w:pPr>
            <w:r/>
            <w:r>
              <w:rPr>
                <w:rFonts w:ascii="Calibri" w:hAnsi="Calibri"/>
                <w:b w:val="0"/>
                <w:sz w:val="20"/>
              </w:rPr>
              <w:t>Next</w:t>
            </w:r>
          </w:p>
        </w:tc>
        <w:tc>
          <w:tcPr>
            <w:tcW w:type="dxa" w:w="3360"/>
            <w:vAlign w:val="center"/>
            <w:shd w:fill="F3F6F9"/>
          </w:tcPr>
          <w:p>
            <w:pPr>
              <w:spacing w:after="40"/>
            </w:pPr>
            <w:r/>
            <w:r>
              <w:rPr>
                <w:rFonts w:ascii="Calibri" w:hAnsi="Calibri"/>
                <w:b w:val="0"/>
                <w:sz w:val="20"/>
              </w:rPr>
              <w:t>User accounts and saved history</w:t>
            </w:r>
          </w:p>
        </w:tc>
        <w:tc>
          <w:tcPr>
            <w:tcW w:type="dxa" w:w="3360"/>
            <w:vAlign w:val="center"/>
            <w:shd w:fill="F3F6F9"/>
          </w:tcPr>
          <w:p>
            <w:pPr>
              <w:spacing w:after="40"/>
            </w:pPr>
            <w:r/>
            <w:r>
              <w:rPr>
                <w:rFonts w:ascii="Calibri" w:hAnsi="Calibri"/>
                <w:b w:val="0"/>
                <w:sz w:val="20"/>
              </w:rPr>
              <w:t>Allow users to revisit and manage drafts securely.</w:t>
            </w:r>
          </w:p>
        </w:tc>
      </w:tr>
      <w:tr>
        <w:tc>
          <w:tcPr>
            <w:tcW w:type="dxa" w:w="3360"/>
            <w:vAlign w:val="center"/>
            <w:shd w:fill="FFFFFF"/>
          </w:tcPr>
          <w:p>
            <w:pPr>
              <w:spacing w:after="40"/>
            </w:pPr>
            <w:r/>
            <w:r>
              <w:rPr>
                <w:rFonts w:ascii="Calibri" w:hAnsi="Calibri"/>
                <w:b w:val="0"/>
                <w:sz w:val="20"/>
              </w:rPr>
              <w:t>Later</w:t>
            </w:r>
          </w:p>
        </w:tc>
        <w:tc>
          <w:tcPr>
            <w:tcW w:type="dxa" w:w="3360"/>
            <w:vAlign w:val="center"/>
            <w:shd w:fill="FFFFFF"/>
          </w:tcPr>
          <w:p>
            <w:pPr>
              <w:spacing w:after="40"/>
            </w:pPr>
            <w:r/>
            <w:r>
              <w:rPr>
                <w:rFonts w:ascii="Calibri" w:hAnsi="Calibri"/>
                <w:b w:val="0"/>
                <w:sz w:val="20"/>
              </w:rPr>
              <w:t>Jurisdiction and language profiles</w:t>
            </w:r>
          </w:p>
        </w:tc>
        <w:tc>
          <w:tcPr>
            <w:tcW w:type="dxa" w:w="3360"/>
            <w:vAlign w:val="center"/>
            <w:shd w:fill="FFFFFF"/>
          </w:tcPr>
          <w:p>
            <w:pPr>
              <w:spacing w:after="40"/>
            </w:pPr>
            <w:r/>
            <w:r>
              <w:rPr>
                <w:rFonts w:ascii="Calibri" w:hAnsi="Calibri"/>
                <w:b w:val="0"/>
                <w:sz w:val="20"/>
              </w:rPr>
              <w:t>Improve relevance while requiring carefully reviewed legal content.</w:t>
            </w:r>
          </w:p>
        </w:tc>
      </w:tr>
      <w:tr>
        <w:tc>
          <w:tcPr>
            <w:tcW w:type="dxa" w:w="3360"/>
            <w:vAlign w:val="center"/>
            <w:shd w:fill="F3F6F9"/>
          </w:tcPr>
          <w:p>
            <w:pPr>
              <w:spacing w:after="40"/>
            </w:pPr>
            <w:r/>
            <w:r>
              <w:rPr>
                <w:rFonts w:ascii="Calibri" w:hAnsi="Calibri"/>
                <w:b w:val="0"/>
                <w:sz w:val="20"/>
              </w:rPr>
              <w:t>Later</w:t>
            </w:r>
          </w:p>
        </w:tc>
        <w:tc>
          <w:tcPr>
            <w:tcW w:type="dxa" w:w="3360"/>
            <w:vAlign w:val="center"/>
            <w:shd w:fill="F3F6F9"/>
          </w:tcPr>
          <w:p>
            <w:pPr>
              <w:spacing w:after="40"/>
            </w:pPr>
            <w:r/>
            <w:r>
              <w:rPr>
                <w:rFonts w:ascii="Calibri" w:hAnsi="Calibri"/>
                <w:b w:val="0"/>
                <w:sz w:val="20"/>
              </w:rPr>
              <w:t>Document comparison and versioning</w:t>
            </w:r>
          </w:p>
        </w:tc>
        <w:tc>
          <w:tcPr>
            <w:tcW w:type="dxa" w:w="3360"/>
            <w:vAlign w:val="center"/>
            <w:shd w:fill="F3F6F9"/>
          </w:tcPr>
          <w:p>
            <w:pPr>
              <w:spacing w:after="40"/>
            </w:pPr>
            <w:r/>
            <w:r>
              <w:rPr>
                <w:rFonts w:ascii="Calibri" w:hAnsi="Calibri"/>
                <w:b w:val="0"/>
                <w:sz w:val="20"/>
              </w:rPr>
              <w:t>Support collaborative editing and change review.</w:t>
            </w:r>
          </w:p>
        </w:tc>
      </w:tr>
      <w:tr>
        <w:tc>
          <w:tcPr>
            <w:tcW w:type="dxa" w:w="3360"/>
            <w:vAlign w:val="center"/>
            <w:shd w:fill="FFFFFF"/>
          </w:tcPr>
          <w:p>
            <w:pPr>
              <w:spacing w:after="40"/>
            </w:pPr>
            <w:r/>
            <w:r>
              <w:rPr>
                <w:rFonts w:ascii="Calibri" w:hAnsi="Calibri"/>
                <w:b w:val="0"/>
                <w:sz w:val="20"/>
              </w:rPr>
              <w:t>Later</w:t>
            </w:r>
          </w:p>
        </w:tc>
        <w:tc>
          <w:tcPr>
            <w:tcW w:type="dxa" w:w="3360"/>
            <w:vAlign w:val="center"/>
            <w:shd w:fill="FFFFFF"/>
          </w:tcPr>
          <w:p>
            <w:pPr>
              <w:spacing w:after="40"/>
            </w:pPr>
            <w:r/>
            <w:r>
              <w:rPr>
                <w:rFonts w:ascii="Calibri" w:hAnsi="Calibri"/>
                <w:b w:val="0"/>
                <w:sz w:val="20"/>
              </w:rPr>
              <w:t>Human legal-review workflow</w:t>
            </w:r>
          </w:p>
        </w:tc>
        <w:tc>
          <w:tcPr>
            <w:tcW w:type="dxa" w:w="3360"/>
            <w:vAlign w:val="center"/>
            <w:shd w:fill="FFFFFF"/>
          </w:tcPr>
          <w:p>
            <w:pPr>
              <w:spacing w:after="40"/>
            </w:pPr>
            <w:r/>
            <w:r>
              <w:rPr>
                <w:rFonts w:ascii="Calibri" w:hAnsi="Calibri"/>
                <w:b w:val="0"/>
                <w:sz w:val="20"/>
              </w:rPr>
              <w:t>Connect draft generation with qualified reviewers.</w:t>
            </w:r>
          </w:p>
        </w:tc>
      </w:tr>
      <w:tr>
        <w:tc>
          <w:tcPr>
            <w:tcW w:type="dxa" w:w="3360"/>
            <w:vAlign w:val="center"/>
            <w:shd w:fill="F3F6F9"/>
          </w:tcPr>
          <w:p>
            <w:pPr>
              <w:spacing w:after="40"/>
            </w:pPr>
            <w:r/>
            <w:r>
              <w:rPr>
                <w:rFonts w:ascii="Calibri" w:hAnsi="Calibri"/>
                <w:b w:val="0"/>
                <w:sz w:val="20"/>
              </w:rPr>
              <w:t>Later</w:t>
            </w:r>
          </w:p>
        </w:tc>
        <w:tc>
          <w:tcPr>
            <w:tcW w:type="dxa" w:w="3360"/>
            <w:vAlign w:val="center"/>
            <w:shd w:fill="F3F6F9"/>
          </w:tcPr>
          <w:p>
            <w:pPr>
              <w:spacing w:after="40"/>
            </w:pPr>
            <w:r/>
            <w:r>
              <w:rPr>
                <w:rFonts w:ascii="Calibri" w:hAnsi="Calibri"/>
                <w:b w:val="0"/>
                <w:sz w:val="20"/>
              </w:rPr>
              <w:t>Audit logs, rate limits, and usage analytics</w:t>
            </w:r>
          </w:p>
        </w:tc>
        <w:tc>
          <w:tcPr>
            <w:tcW w:type="dxa" w:w="3360"/>
            <w:vAlign w:val="center"/>
            <w:shd w:fill="F3F6F9"/>
          </w:tcPr>
          <w:p>
            <w:pPr>
              <w:spacing w:after="40"/>
            </w:pPr>
            <w:r/>
            <w:r>
              <w:rPr>
                <w:rFonts w:ascii="Calibri" w:hAnsi="Calibri"/>
                <w:b w:val="0"/>
                <w:sz w:val="20"/>
              </w:rPr>
              <w:t>Improve security, reliability, and operational oversight.</w:t>
            </w:r>
          </w:p>
        </w:tc>
      </w:tr>
    </w:tbl>
    <w:p>
      <w:pPr>
        <w:spacing w:after="40"/>
      </w:pPr>
    </w:p>
    <w:p>
      <w:pPr>
        <w:pStyle w:val="Heading1"/>
        <w:spacing w:before="200" w:after="100"/>
      </w:pPr>
      <w:r>
        <w:t>5. Deployment Decision</w:t>
      </w:r>
    </w:p>
    <w:p>
      <w:pPr>
        <w:spacing w:after="120" w:line="269" w:lineRule="auto"/>
      </w:pPr>
      <w:r>
        <w:t>Deployment should proceed only after the team reproduces the test suite, secures the Gemini configuration, restricts production CORS, validates export files, and confirms that users understand the difference between an AI-assisted draft and professional legal advice.</w:t>
      </w:r>
    </w:p>
    <w:p>
      <w:pPr>
        <w:pStyle w:val="Heading1"/>
        <w:spacing w:before="200" w:after="100"/>
      </w:pPr>
      <w:r>
        <w:t>6. Final Statement</w:t>
      </w:r>
    </w:p>
    <w:p>
      <w:pPr>
        <w:spacing w:after="120" w:line="269" w:lineRule="auto"/>
      </w:pPr>
      <w:r>
        <w:t>LegalEaseAI provides a focused foundation for reducing routine document-drafting effort. Its safest and most valuable evolution is to improve reviewability, traceability, security, and professional oversight before expanding into broader legal automation.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666666"/>
        <w:sz w:val="16"/>
      </w:rPr>
      <w:t>LegalEaseAI | AI-assisted draft generation | Review with a qualified legal professional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08_Deployment_and_Future_Enhancement_Phase</dc:title>
  <dc:subject>LegalEaseAI project phase documentation</dc:subject>
  <dc:creator>LegalEaseAI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